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biomed-solutions-paris"/>
    <w:p>
      <w:pPr>
        <w:pStyle w:val="Heading1"/>
      </w:pPr>
      <w:r>
        <w:t xml:space="preserve">BioMed Solutions Paris</w:t>
      </w:r>
    </w:p>
    <w:p>
      <w:pPr>
        <w:pStyle w:val="FirstParagraph"/>
      </w:pPr>
      <w:r>
        <w:t xml:space="preserve">Expert Biomedical Engineering Services</w:t>
      </w:r>
    </w:p>
    <w:p>
      <w:pPr>
        <w:pStyle w:val="BodyText"/>
      </w:pPr>
      <w:r>
        <w:t xml:space="preserve">12 Avenue de la République</w:t>
      </w:r>
    </w:p>
    <w:p>
      <w:pPr>
        <w:pStyle w:val="BodyText"/>
      </w:pPr>
      <w:r>
        <w:t xml:space="preserve">75011 Paris, France</w:t>
      </w:r>
    </w:p>
    <w:p>
      <w:pPr>
        <w:pStyle w:val="BodyText"/>
      </w:pPr>
      <w:r>
        <w:t xml:space="preserve">SIRET: 892 100 455 00012</w:t>
      </w:r>
    </w:p>
    <w:p>
      <w:pPr>
        <w:pStyle w:val="BodyText"/>
      </w:pPr>
      <w:r>
        <w:t xml:space="preserve">VAT ID: FR 12 892100455</w:t>
      </w:r>
    </w:p>
    <w:p>
      <w:pPr>
        <w:pStyle w:val="BodyText"/>
      </w:pPr>
      <w:r>
        <w:t xml:space="preserve">Email: billing@biomed-solutions-paris.fr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Hôpital Européen Georges-Pompidou</w:t>
      </w:r>
    </w:p>
    <w:p>
      <w:pPr>
        <w:pStyle w:val="BodyText"/>
      </w:pPr>
      <w:r>
        <w:t xml:space="preserve">Department of Medical Technology</w:t>
      </w:r>
    </w:p>
    <w:p>
      <w:pPr>
        <w:pStyle w:val="BodyText"/>
      </w:pPr>
      <w:r>
        <w:t xml:space="preserve">20 Rue Leblanc</w:t>
      </w:r>
    </w:p>
    <w:p>
      <w:pPr>
        <w:pStyle w:val="BodyText"/>
      </w:pPr>
      <w:r>
        <w:t xml:space="preserve">75015 Paris, France</w:t>
      </w:r>
    </w:p>
    <w:p>
      <w:pPr>
        <w:pStyle w:val="BodyText"/>
      </w:pPr>
      <w:r>
        <w:t xml:space="preserve">Attn: Procurement Department</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Advanced Imaging System Calibration</w:t>
      </w:r>
    </w:p>
    <w:p>
      <w:pPr>
        <w:pStyle w:val="BodyText"/>
      </w:pPr>
      <w:r>
        <w:rPr>
          <w:bCs/>
          <w:b/>
        </w:rPr>
        <w:t xml:space="preserve">Location:</w:t>
      </w:r>
      <w:r>
        <w:t xml:space="preserve"> </w:t>
      </w:r>
      <w:r>
        <w:t xml:space="preserve">Paris, France</w:t>
      </w:r>
    </w:p>
    <w:p>
      <w:pPr>
        <w:pStyle w:val="BodyText"/>
      </w:pPr>
      <w:r>
        <w:rPr>
          <w:bCs/>
          <w:b/>
        </w:rPr>
        <w:t xml:space="preserve">Contract Ref:</w:t>
      </w:r>
      <w:r>
        <w:t xml:space="preserve"> </w:t>
      </w:r>
      <w:r>
        <w:t xml:space="preserve">C-2023-BME-09</w:t>
      </w:r>
    </w:p>
    <w:p>
      <w:pPr>
        <w:pStyle w:val="BodyText"/>
      </w:pPr>
      <w:r>
        <w:rPr>
          <w:bCs/>
          <w:b/>
        </w:rPr>
        <w:t xml:space="preserve">Service Period:</w:t>
      </w:r>
      <w:r>
        <w:t xml:space="preserve"> </w:t>
      </w:r>
      <w:r>
        <w:t xml:space="preserve">Oct 1 - Oct 20, 2023</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Biomedical Engineer Consultation &amp; Site Analysis</w:t>
            </w:r>
            <w:r>
              <w:br/>
            </w:r>
            <w:r>
              <w:t xml:space="preserve">Comprehensive on-site assessment of the radiology wing in Paris. This service includes the evaluation of existing MRI and CT infrastructure, ensuring compliance with French medical device regulations (MDR). The Biomedical Engineer conducted a thorough risk analysis and safety audit of the electrical systems powering critical life-support and diagnostic equipment.</w:t>
            </w:r>
          </w:p>
        </w:tc>
        <w:tc>
          <w:tcPr/>
          <w:p>
            <w:pPr>
              <w:pStyle w:val="Compact"/>
              <w:jc w:val="left"/>
            </w:pPr>
            <w:r>
              <w:t xml:space="preserve">16.0</w:t>
            </w:r>
          </w:p>
        </w:tc>
        <w:tc>
          <w:tcPr/>
          <w:p>
            <w:pPr>
              <w:pStyle w:val="Compact"/>
              <w:jc w:val="left"/>
            </w:pPr>
            <w:r>
              <w:t xml:space="preserve">150.00</w:t>
            </w:r>
          </w:p>
        </w:tc>
        <w:tc>
          <w:tcPr/>
          <w:p>
            <w:pPr>
              <w:pStyle w:val="Compact"/>
              <w:jc w:val="left"/>
            </w:pPr>
            <w:r>
              <w:t xml:space="preserve">2,400.00</w:t>
            </w:r>
          </w:p>
        </w:tc>
      </w:tr>
      <w:tr>
        <w:tc>
          <w:tcPr/>
          <w:p>
            <w:pPr>
              <w:pStyle w:val="Compact"/>
              <w:jc w:val="left"/>
            </w:pPr>
            <w:r>
              <w:rPr>
                <w:bCs/>
                <w:b/>
              </w:rPr>
              <w:t xml:space="preserve">Calibration of Diagnostic Imaging Equipment</w:t>
            </w:r>
            <w:r>
              <w:br/>
            </w:r>
            <w:r>
              <w:t xml:space="preserve">Precision calibration of the Siemens Magnetom MRI unit. Performed by a certified Biomedical Engineer specializing in high-field magnetic resonance imaging. This task ensures image fidelity and patient safety, adhering to strict ISO standards required for medical facilities in France Paris. Includes phantom testing and software parameter optimization.</w:t>
            </w:r>
          </w:p>
        </w:tc>
        <w:tc>
          <w:tcPr/>
          <w:p>
            <w:pPr>
              <w:pStyle w:val="Compact"/>
              <w:jc w:val="left"/>
            </w:pPr>
            <w:r>
              <w:t xml:space="preserve">1.0</w:t>
            </w:r>
          </w:p>
        </w:tc>
        <w:tc>
          <w:tcPr/>
          <w:p>
            <w:pPr>
              <w:pStyle w:val="Compact"/>
              <w:jc w:val="left"/>
            </w:pPr>
            <w:r>
              <w:t xml:space="preserve">1,200.00</w:t>
            </w:r>
          </w:p>
        </w:tc>
        <w:tc>
          <w:tcPr/>
          <w:p>
            <w:pPr>
              <w:pStyle w:val="Compact"/>
              <w:jc w:val="left"/>
            </w:pPr>
            <w:r>
              <w:t xml:space="preserve">1,200.00</w:t>
            </w:r>
          </w:p>
        </w:tc>
      </w:tr>
      <w:tr>
        <w:tc>
          <w:tcPr/>
          <w:p>
            <w:pPr>
              <w:pStyle w:val="Compact"/>
              <w:jc w:val="left"/>
            </w:pPr>
            <w:r>
              <w:rPr>
                <w:bCs/>
                <w:b/>
              </w:rPr>
              <w:t xml:space="preserve">Preventive Maintenance of Patient Monitoring Systems</w:t>
            </w:r>
            <w:r>
              <w:br/>
            </w:r>
            <w:r>
              <w:t xml:space="preserve">Routine maintenance and functional testing of 20 bedside patient monitors in the intensive care unit. The Biomedical Engineer verified alarm thresholds, battery integrity, and sensor accuracy. This preventive measure is critical for maintaining operational continuity in a high-volume hospital environment in Paris.</w:t>
            </w:r>
          </w:p>
        </w:tc>
        <w:tc>
          <w:tcPr/>
          <w:p>
            <w:pPr>
              <w:pStyle w:val="Compact"/>
              <w:jc w:val="left"/>
            </w:pPr>
            <w:r>
              <w:t xml:space="preserve">20.0</w:t>
            </w:r>
          </w:p>
        </w:tc>
        <w:tc>
          <w:tcPr/>
          <w:p>
            <w:pPr>
              <w:pStyle w:val="Compact"/>
              <w:jc w:val="left"/>
            </w:pPr>
            <w:r>
              <w:t xml:space="preserve">45.00</w:t>
            </w:r>
          </w:p>
        </w:tc>
        <w:tc>
          <w:tcPr/>
          <w:p>
            <w:pPr>
              <w:pStyle w:val="Compact"/>
              <w:jc w:val="left"/>
            </w:pPr>
            <w:r>
              <w:t xml:space="preserve">900.00</w:t>
            </w:r>
          </w:p>
        </w:tc>
      </w:tr>
      <w:tr>
        <w:tc>
          <w:tcPr/>
          <w:p>
            <w:pPr>
              <w:pStyle w:val="Compact"/>
              <w:jc w:val="left"/>
            </w:pPr>
            <w:r>
              <w:rPr>
                <w:bCs/>
                <w:b/>
              </w:rPr>
              <w:t xml:space="preserve">Technical Documentation &amp; Regulatory Reporting</w:t>
            </w:r>
            <w:r>
              <w:br/>
            </w:r>
            <w:r>
              <w:t xml:space="preserve">Preparation of detailed technical reports for hospital administration and regulatory bodies. The Biomedical Engineer documented all maintenance activities, calibration results, and safety checks. This documentation ensures full traceability and compliance with the French Public Health Code regarding medical equipment management.</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w:t>
            </w:r>
          </w:p>
        </w:tc>
      </w:tr>
      <w:tr>
        <w:tc>
          <w:tcPr/>
          <w:p>
            <w:pPr>
              <w:pStyle w:val="Compact"/>
              <w:jc w:val="left"/>
            </w:pPr>
            <w:r>
              <w:rPr>
                <w:bCs/>
                <w:b/>
              </w:rPr>
              <w:t xml:space="preserve">Emergency Repair of Infusion Pump Array</w:t>
            </w:r>
            <w:r>
              <w:br/>
            </w:r>
            <w:r>
              <w:t xml:space="preserve">Urgent troubleshooting and repair of malfunctioning infusion pumps. The Biomedical Engineer identified a firmware conflict and replaced faulty flow sensors. This rapid response service minimized downtime in the surgical ward, ensuring uninterrupted patient care in the Paris facility.</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w:t>
            </w:r>
          </w:p>
        </w:tc>
      </w:tr>
    </w:tbl>
    <w:p>
      <w:pPr>
        <w:pStyle w:val="BodyText"/>
      </w:pPr>
      <w:r>
        <w:t xml:space="preserve">Subtotal (HT):</w:t>
      </w:r>
      <w:r>
        <w:t xml:space="preserve"> </w:t>
      </w:r>
      <w:r>
        <w:t xml:space="preserve">5,330.00 EUR</w:t>
      </w:r>
    </w:p>
    <w:p>
      <w:pPr>
        <w:pStyle w:val="BodyText"/>
      </w:pPr>
      <w:r>
        <w:t xml:space="preserve">VAT (TVA 20%):</w:t>
      </w:r>
      <w:r>
        <w:t xml:space="preserve"> </w:t>
      </w:r>
      <w:r>
        <w:t xml:space="preserve">1,066.00 EUR</w:t>
      </w:r>
    </w:p>
    <w:p>
      <w:pPr>
        <w:pStyle w:val="BodyText"/>
      </w:pPr>
      <w:r>
        <w:t xml:space="preserve">Total Due (TTC):</w:t>
      </w:r>
      <w:r>
        <w:t xml:space="preserve"> </w:t>
      </w:r>
      <w:r>
        <w:t xml:space="preserve">6,396.00 EUR</w:t>
      </w:r>
    </w:p>
    <w:bookmarkStart w:id="24" w:name="payment-instructions-notes"/>
    <w:p>
      <w:pPr>
        <w:pStyle w:val="Heading4"/>
      </w:pPr>
      <w:r>
        <w:t xml:space="preserve">Payment Instructions &amp; Notes</w:t>
      </w:r>
    </w:p>
    <w:p>
      <w:pPr>
        <w:pStyle w:val="FirstParagraph"/>
      </w:pPr>
      <w:r>
        <w:t xml:space="preserve">Please remit payment via bank transfer to the following account within 30 days of the invoice date. Late payments may incur interest charges in accordance with French commercial law.</w:t>
      </w:r>
    </w:p>
    <w:p>
      <w:pPr>
        <w:pStyle w:val="BodyText"/>
      </w:pPr>
      <w:r>
        <w:rPr>
          <w:bCs/>
          <w:b/>
        </w:rPr>
        <w:t xml:space="preserve">Bank Name:</w:t>
      </w:r>
      <w:r>
        <w:t xml:space="preserve"> </w:t>
      </w:r>
      <w:r>
        <w:t xml:space="preserve">BNP Paribas</w:t>
      </w:r>
      <w:r>
        <w:br/>
      </w:r>
      <w:r>
        <w:rPr>
          <w:bCs/>
          <w:b/>
        </w:rPr>
        <w:t xml:space="preserve">Account Holder:</w:t>
      </w:r>
      <w:r>
        <w:t xml:space="preserve"> </w:t>
      </w:r>
      <w:r>
        <w:t xml:space="preserve">BioMed Solutions Paris SAS</w:t>
      </w:r>
      <w:r>
        <w:br/>
      </w:r>
      <w:r>
        <w:rPr>
          <w:bCs/>
          <w:b/>
        </w:rPr>
        <w:t xml:space="preserve">IBAN:</w:t>
      </w:r>
      <w:r>
        <w:t xml:space="preserve"> </w:t>
      </w:r>
      <w:r>
        <w:t xml:space="preserve">FR76 3000 4000 0100 0000 0000 000</w:t>
      </w:r>
      <w:r>
        <w:br/>
      </w:r>
      <w:r>
        <w:rPr>
          <w:bCs/>
          <w:b/>
        </w:rPr>
        <w:t xml:space="preserve">BIC:</w:t>
      </w:r>
      <w:r>
        <w:t xml:space="preserve"> </w:t>
      </w:r>
      <w:r>
        <w:t xml:space="preserve">BNPAFRPP</w:t>
      </w:r>
      <w:r>
        <w:br/>
      </w:r>
      <w:r>
        <w:rPr>
          <w:bCs/>
          <w:b/>
        </w:rPr>
        <w:t xml:space="preserve">Reference:</w:t>
      </w:r>
      <w:r>
        <w:t xml:space="preserve"> </w:t>
      </w:r>
      <w:r>
        <w:t xml:space="preserve">INV-2023-10-042</w:t>
      </w:r>
    </w:p>
    <w:p>
      <w:pPr>
        <w:pStyle w:val="BodyText"/>
      </w:pPr>
      <w:r>
        <w:rPr>
          <w:bCs/>
          <w:b/>
        </w:rPr>
        <w:t xml:space="preserve">Service Guarantee:</w:t>
      </w:r>
      <w:r>
        <w:t xml:space="preserve"> </w:t>
      </w:r>
      <w:r>
        <w:t xml:space="preserve">All services provided by our Biomedical Engineer are guaranteed for a period of 90 days from the date of completion. This guarantee covers workmanship and calibration accuracy. It does not cover damage caused by misuse or external factors.</w:t>
      </w:r>
    </w:p>
    <w:p>
      <w:pPr>
        <w:pStyle w:val="BodyText"/>
      </w:pPr>
      <w:r>
        <w:rPr>
          <w:bCs/>
          <w:b/>
        </w:rPr>
        <w:t xml:space="preserve">Regulatory Compliance:</w:t>
      </w:r>
      <w:r>
        <w:t xml:space="preserve"> </w:t>
      </w:r>
      <w:r>
        <w:t xml:space="preserve">All engineering services performed in France Paris are conducted in strict adherence to the European Union Medical Device Regulation (MDR 2017/745) and local French safety standards. Our team ensures that all medical equipment remains compliant with the rigorous requirements of the French healthcare system.</w:t>
      </w:r>
    </w:p>
    <w:p>
      <w:pPr>
        <w:pStyle w:val="BodyText"/>
      </w:pPr>
      <w:r>
        <w:rPr>
          <w:bCs/>
          <w:b/>
        </w:rPr>
        <w:t xml:space="preserve">Environmental Policy:</w:t>
      </w:r>
      <w:r>
        <w:t xml:space="preserve"> </w:t>
      </w:r>
      <w:r>
        <w:t xml:space="preserve">BioMed Solutions Paris is committed to sustainable engineering practices. All electronic waste generated during the maintenance and repair processes is disposed of in accordance with French environmental regulations and WEEE directives.</w:t>
      </w:r>
    </w:p>
    <w:p>
      <w:pPr>
        <w:pStyle w:val="BodyText"/>
      </w:pPr>
      <w:r>
        <w:t xml:space="preserve">If you have any questions regarding this invoice or the services provided by our Biomedical Engineer, please contact our finance department at the email address listed above. We appreciate your business and look forward to continuing our partnership in advancing medical technology in Paris.</w:t>
      </w:r>
    </w:p>
    <w:bookmarkEnd w:id="24"/>
    <w:p>
      <w:pPr>
        <w:pStyle w:val="BodyText"/>
      </w:pPr>
      <w:r>
        <w:t xml:space="preserve">BioMed Solutions Paris SAS | Registered Office: 12 Avenue de la République, 75011 Paris, France</w:t>
      </w:r>
    </w:p>
    <w:p>
      <w:pPr>
        <w:pStyle w:val="BodyText"/>
      </w:pPr>
      <w:r>
        <w:t xml:space="preserve">Capital: 50,000 EUR | RCS Paris B 892 100 455</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2026-10-10T02:31:57Z</dcterms:created>
  <dcterms:modified xsi:type="dcterms:W3CDTF">2026-10-10T02:31:57Z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