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frankfurt-biomedical-solutions-gmbh"/>
    <w:p>
      <w:pPr>
        <w:pStyle w:val="Heading1"/>
      </w:pPr>
      <w:r>
        <w:t xml:space="preserve">Frankfurt Biomedical Solutions GmbH</w:t>
      </w:r>
    </w:p>
    <w:p>
      <w:pPr>
        <w:pStyle w:val="FirstParagraph"/>
      </w:pPr>
      <w:r>
        <w:rPr>
          <w:bCs/>
          <w:b/>
        </w:rPr>
        <w:t xml:space="preserve">Biomedical Engineering &amp; Medical Technology Services</w:t>
      </w:r>
    </w:p>
    <w:p>
      <w:pPr>
        <w:pStyle w:val="BodyText"/>
      </w:pPr>
      <w:r>
        <w:t xml:space="preserve">Mainzer Landstraße 123</w:t>
      </w:r>
    </w:p>
    <w:p>
      <w:pPr>
        <w:pStyle w:val="BodyText"/>
      </w:pPr>
      <w:r>
        <w:t xml:space="preserve">60325 Frankfurt am Main, Germany</w:t>
      </w:r>
    </w:p>
    <w:p>
      <w:pPr>
        <w:pStyle w:val="BodyText"/>
      </w:pPr>
      <w:r>
        <w:t xml:space="preserve">Tax ID (Steuernummer): 123/456/78901</w:t>
      </w:r>
    </w:p>
    <w:p>
      <w:pPr>
        <w:pStyle w:val="BodyText"/>
      </w:pPr>
      <w:r>
        <w:t xml:space="preserve">VAT ID (USt-IdNr.): DE123456789</w:t>
      </w:r>
    </w:p>
    <w:p>
      <w:pPr>
        <w:pStyle w:val="BodyText"/>
      </w:pPr>
      <w:r>
        <w:t xml:space="preserve">HRB 123456 Frankfurt am Main</w:t>
      </w:r>
    </w:p>
    <w:p>
      <w:pPr>
        <w:pStyle w:val="BodyText"/>
      </w:pPr>
      <w:r>
        <w:t xml:space="preserve">Email: billing@frankfurt-biomedical.de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INV-2023-FRA-0892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City Hospital Frankfurt (Stadtklinik Frankfurt)</w:t>
      </w:r>
    </w:p>
    <w:p>
      <w:pPr>
        <w:pStyle w:val="BodyText"/>
      </w:pPr>
      <w:r>
        <w:t xml:space="preserve">Attn: Procurement Department / Medical Engineering Division</w:t>
      </w:r>
    </w:p>
    <w:p>
      <w:pPr>
        <w:pStyle w:val="BodyText"/>
      </w:pPr>
      <w:r>
        <w:t xml:space="preserve">Theodor-Stern-Kai 7</w:t>
      </w:r>
    </w:p>
    <w:p>
      <w:pPr>
        <w:pStyle w:val="BodyText"/>
      </w:pPr>
      <w:r>
        <w:t xml:space="preserve">60590 Frankfurt am Main, Germany</w:t>
      </w:r>
    </w:p>
    <w:p>
      <w:pPr>
        <w:pStyle w:val="BodyText"/>
      </w:pPr>
      <w:r>
        <w:t xml:space="preserve">Contact Person: Dr. Klaus Weber</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Preventive Maintenance of MRI Systems</w:t>
            </w:r>
            <w:r>
              <w:br/>
            </w:r>
            <w:r>
              <w:t xml:space="preserve">Comprehensive inspection and calibration of 1.5T MRI units located in the radiology department. This service includes gradient coil testing, RF system verification, and cryogen level checks to ensure compliance with German medical device regulations (MPG).</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Biomedical Equipment Safety Testing</w:t>
            </w:r>
            <w:r>
              <w:br/>
            </w:r>
            <w:r>
              <w:t xml:space="preserve">Electrical safety testing and performance verification for 50 patient monitoring devices in the ICU. Adherence to DIN EN 60601-1 standards. Includes leakage current measurements and earth continuity checks.</w:t>
            </w:r>
          </w:p>
        </w:tc>
        <w:tc>
          <w:tcPr/>
          <w:p>
            <w:pPr>
              <w:pStyle w:val="Compact"/>
              <w:jc w:val="left"/>
            </w:pPr>
            <w:r>
              <w:t xml:space="preserve">50</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3</w:t>
            </w:r>
          </w:p>
        </w:tc>
        <w:tc>
          <w:tcPr/>
          <w:p>
            <w:pPr>
              <w:pStyle w:val="Compact"/>
              <w:jc w:val="left"/>
            </w:pPr>
            <w:r>
              <w:rPr>
                <w:bCs/>
                <w:b/>
              </w:rPr>
              <w:t xml:space="preserve">Consultation on Medical Device Integration</w:t>
            </w:r>
            <w:r>
              <w:br/>
            </w:r>
            <w:r>
              <w:t xml:space="preserve">Strategic consulting for the integration of new PACS (Picture Archiving and Communication System) with existing hospital information systems. Ensuring data integrity and interoperability within the Frankfurt healthcare network.</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Repair of Infusion Pumps</w:t>
            </w:r>
            <w:r>
              <w:br/>
            </w:r>
            <w:r>
              <w:t xml:space="preserve">Diagnostic and repair services for malfunctioning volumetric infusion pumps. Replacement of worn mechanical components and firmware updates to ensure precise drug delivery.</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Regulatory Compliance Audit Support</w:t>
            </w:r>
            <w:r>
              <w:br/>
            </w:r>
            <w:r>
              <w:t xml:space="preserve">Assistance in preparing documentation for the upcoming audit by the German Federal Institute for Drugs and Medical Devices (BfArM). Review of maintenance logs and risk assessments for high-risk medical equipment.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10,450.00 EUR</w:t>
      </w:r>
    </w:p>
    <w:p>
      <w:pPr>
        <w:pStyle w:val="BodyText"/>
      </w:pPr>
      <w:r>
        <w:t xml:space="preserve">VAT (19%):</w:t>
      </w:r>
      <w:r>
        <w:t xml:space="preserve"> </w:t>
      </w:r>
      <w:r>
        <w:t xml:space="preserve">1,985.50 EUR</w:t>
      </w:r>
    </w:p>
    <w:p>
      <w:pPr>
        <w:pStyle w:val="BodyText"/>
      </w:pPr>
      <w:r>
        <w:t xml:space="preserve">Total Amount Due:</w:t>
      </w:r>
      <w:r>
        <w:t xml:space="preserve"> </w:t>
      </w:r>
      <w:r>
        <w:t xml:space="preserve">12,435.50 EUR</w:t>
      </w:r>
    </w:p>
    <w:bookmarkStart w:id="23" w:name="payment-instructions-notes"/>
    <w:p>
      <w:pPr>
        <w:pStyle w:val="Heading4"/>
      </w:pPr>
      <w:r>
        <w:t xml:space="preserve">Payment Instructions &amp; Notes:</w:t>
      </w:r>
    </w:p>
    <w:p>
      <w:pPr>
        <w:pStyle w:val="FirstParagraph"/>
      </w:pPr>
      <w:r>
        <w:t xml:space="preserve">Please transfer the total amount to the following bank account within 30 days of the invoice date:</w:t>
      </w:r>
    </w:p>
    <w:p>
      <w:pPr>
        <w:pStyle w:val="BodyText"/>
      </w:pPr>
      <w:r>
        <w:rPr>
          <w:bCs/>
          <w:b/>
        </w:rPr>
        <w:t xml:space="preserve">Bank Name:</w:t>
      </w:r>
      <w:r>
        <w:t xml:space="preserve"> </w:t>
      </w:r>
      <w:r>
        <w:t xml:space="preserve">Commerzbank AG Frankfurt</w:t>
      </w:r>
    </w:p>
    <w:p>
      <w:pPr>
        <w:pStyle w:val="BodyText"/>
      </w:pPr>
      <w:r>
        <w:rPr>
          <w:bCs/>
          <w:b/>
        </w:rPr>
        <w:t xml:space="preserve">IBAN:</w:t>
      </w:r>
      <w:r>
        <w:t xml:space="preserve"> </w:t>
      </w:r>
      <w:r>
        <w:t xml:space="preserve">DE89 5004 0000 0012 3456 78</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INV-2023-FRA-0892</w:t>
      </w:r>
    </w:p>
    <w:p>
      <w:pPr>
        <w:pStyle w:val="BodyText"/>
      </w:pPr>
      <w:r>
        <w:rPr>
          <w:bCs/>
          <w:b/>
        </w:rPr>
        <w:t xml:space="preserve">Important:</w:t>
      </w:r>
      <w:r>
        <w:t xml:space="preserve"> </w:t>
      </w:r>
      <w:r>
        <w:t xml:space="preserve">All services provided by our Biomedical Engineers are performed in strict accordance with the Medical Devices Act (Medizinproduktegesetz - MPG) and relevant DIN/EN standards applicable in Germany. Please retain this invoice for your financial records and regulatory compliance documentation. Late payments may incur interest charges as per German commercial law (§ 288 BGB).</w:t>
      </w:r>
    </w:p>
    <w:bookmarkEnd w:id="23"/>
    <w:p>
      <w:pPr>
        <w:pStyle w:val="BodyText"/>
      </w:pPr>
      <w:r>
        <w:rPr>
          <w:bCs/>
          <w:b/>
        </w:rPr>
        <w:t xml:space="preserve">Legal Notice (Impressum):</w:t>
      </w:r>
      <w:r>
        <w:br/>
      </w:r>
      <w:r>
        <w:t xml:space="preserve">Frankfurt Biomedical Solutions GmbH is a registered company under German law. Managing Director: Dr. Elena Schmidt. Registered Office: Frankfurt am Main. This invoice is generated electronically and is legally binding under the German Commercial Code (HGB). By accepting our services, you agree to our general terms and conditions available at www.frankfurt-biomedical.de/terms.</w:t>
      </w:r>
    </w:p>
    <w:p>
      <w:pPr>
        <w:pStyle w:val="BodyText"/>
      </w:pPr>
      <w:r>
        <w:rPr>
          <w:bCs/>
          <w:b/>
        </w:rPr>
        <w:t xml:space="preserve">Service Scope:</w:t>
      </w:r>
      <w:r>
        <w:br/>
      </w:r>
      <w:r>
        <w:t xml:space="preserve">Our team of certified Biomedical Engineers specializes in the lifecycle management of medical technology in hospitals and clinics across Frankfurt and the greater Hesse region. We ensure that your medical equipment operates safely, efficiently, and in full compliance with national and international regulations.</w:t>
      </w:r>
    </w:p>
    <w:p>
      <w:pPr>
        <w:pStyle w:val="BodyText"/>
      </w:pPr>
      <w:r>
        <w:t xml:space="preserve">Thank you for your business. We appreciate your trust in our biomedical engineering expertise.</w:t>
      </w:r>
    </w:p>
    <w:p>
      <w:pPr>
        <w:pStyle w:val="BodyText"/>
      </w:pPr>
      <w:r>
        <w:t xml:space="preserve">Frankfurt Biomedical Solutions GmbH | Mainzer Landstraße 123 | 60325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2026-10-10T04:02:10Z</dcterms:created>
  <dcterms:modified xsi:type="dcterms:W3CDTF">2026-10-10T04:02:10Z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