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r>
        <w:t xml:space="preserve"> </w:t>
      </w:r>
      <w:r>
        <w:t xml:space="preserve">-</w:t>
      </w:r>
      <w:r>
        <w:t xml:space="preserve"> </w:t>
      </w:r>
      <w:r>
        <w:t xml:space="preserve">Jakarta,</w:t>
      </w:r>
      <w:r>
        <w:t xml:space="preserve"> </w:t>
      </w:r>
      <w:r>
        <w:t xml:space="preserve">Indonesia</w:t>
      </w:r>
    </w:p>
    <w:bookmarkStart w:id="20" w:name="medtech-solutions-indonesia"/>
    <w:p>
      <w:pPr>
        <w:pStyle w:val="Heading1"/>
      </w:pPr>
      <w:r>
        <w:t xml:space="preserve">MedTech Solutions Indonesia</w:t>
      </w:r>
    </w:p>
    <w:p>
      <w:pPr>
        <w:pStyle w:val="FirstParagraph"/>
      </w:pPr>
      <w:r>
        <w:rPr>
          <w:bCs/>
          <w:b/>
        </w:rPr>
        <w:t xml:space="preserve">Professional Biomedical Engineering Services</w:t>
      </w:r>
    </w:p>
    <w:p>
      <w:pPr>
        <w:pStyle w:val="BodyText"/>
      </w:pPr>
      <w:r>
        <w:t xml:space="preserve">Jl. Sudirman No. 45, Kuningan</w:t>
      </w:r>
    </w:p>
    <w:p>
      <w:pPr>
        <w:pStyle w:val="BodyText"/>
      </w:pPr>
      <w:r>
        <w:t xml:space="preserve">Central Jakarta, Indonesia Jakarta 12920</w:t>
      </w:r>
    </w:p>
    <w:p>
      <w:pPr>
        <w:pStyle w:val="BodyText"/>
      </w:pPr>
      <w:r>
        <w:t xml:space="preserve">Phone: +62 21 555 0123</w:t>
      </w:r>
    </w:p>
    <w:p>
      <w:pPr>
        <w:pStyle w:val="BodyText"/>
      </w:pPr>
      <w:r>
        <w:t xml:space="preserve">Email: billing@medtechsolutions.id</w:t>
      </w:r>
    </w:p>
    <w:p>
      <w:pPr>
        <w:pStyle w:val="BodyText"/>
      </w:pPr>
      <w:r>
        <w:t xml:space="preserve">NPWP: 01.234.567.8-901.000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INV-2024-BME-0847</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Indonesian Rupiah (IDR)</w:t>
      </w:r>
    </w:p>
    <w:bookmarkEnd w:id="21"/>
    <w:bookmarkStart w:id="22" w:name="bill-to"/>
    <w:p>
      <w:pPr>
        <w:pStyle w:val="Heading3"/>
      </w:pPr>
      <w:r>
        <w:t xml:space="preserve">Bill To:</w:t>
      </w:r>
    </w:p>
    <w:p>
      <w:pPr>
        <w:pStyle w:val="FirstParagraph"/>
      </w:pPr>
      <w:r>
        <w:rPr>
          <w:bCs/>
          <w:b/>
        </w:rPr>
        <w:t xml:space="preserve">RS Harapan Kita Medical Center</w:t>
      </w:r>
    </w:p>
    <w:p>
      <w:pPr>
        <w:pStyle w:val="BodyText"/>
      </w:pPr>
      <w:r>
        <w:t xml:space="preserve">Attn: Procurement Department - Medical Equipment Division</w:t>
      </w:r>
    </w:p>
    <w:p>
      <w:pPr>
        <w:pStyle w:val="BodyText"/>
      </w:pPr>
      <w:r>
        <w:t xml:space="preserve">Jl. Letjen S. Parman Kav. 87</w:t>
      </w:r>
    </w:p>
    <w:p>
      <w:pPr>
        <w:pStyle w:val="BodyText"/>
      </w:pPr>
      <w:r>
        <w:t xml:space="preserve">West Jakarta, Indonesia Jakarta 11420</w:t>
      </w:r>
    </w:p>
    <w:p>
      <w:pPr>
        <w:pStyle w:val="BodyText"/>
      </w:pPr>
      <w:r>
        <w:t xml:space="preserve">Contact Person: Dr. Ahmad Wijaya, Chief Medical Officer</w:t>
      </w:r>
    </w:p>
    <w:p>
      <w:pPr>
        <w:pStyle w:val="BodyText"/>
      </w:pPr>
      <w:r>
        <w:t xml:space="preserve">Phone: +62 21 568 4000</w:t>
      </w:r>
    </w:p>
    <w:p>
      <w:pPr>
        <w:pStyle w:val="BodyText"/>
      </w:pPr>
      <w:r>
        <w:t xml:space="preserve">Email: procurement@rsharapankita.co.id</w:t>
      </w:r>
    </w:p>
    <w:p>
      <w:pPr>
        <w:pStyle w:val="BodyText"/>
      </w:pPr>
      <w:r>
        <w:t xml:space="preserve">NPWP: 02.345.678.9-012.000</w:t>
      </w:r>
    </w:p>
    <w:bookmarkEnd w:id="22"/>
    <w:bookmarkStart w:id="23" w:name="project-reference"/>
    <w:p>
      <w:pPr>
        <w:pStyle w:val="Heading3"/>
      </w:pPr>
      <w:r>
        <w:t xml:space="preserve">Project Reference:</w:t>
      </w:r>
    </w:p>
    <w:p>
      <w:pPr>
        <w:pStyle w:val="FirstParagraph"/>
      </w:pPr>
      <w:r>
        <w:rPr>
          <w:bCs/>
          <w:b/>
        </w:rPr>
        <w:t xml:space="preserve">Contract Number:</w:t>
      </w:r>
      <w:r>
        <w:t xml:space="preserve"> </w:t>
      </w:r>
      <w:r>
        <w:t xml:space="preserve">BME-JKT-2024-001</w:t>
      </w:r>
    </w:p>
    <w:p>
      <w:pPr>
        <w:pStyle w:val="BodyText"/>
      </w:pPr>
      <w:r>
        <w:rPr>
          <w:bCs/>
          <w:b/>
        </w:rPr>
        <w:t xml:space="preserve">Project Title:</w:t>
      </w:r>
      <w:r>
        <w:t xml:space="preserve"> </w:t>
      </w:r>
      <w:r>
        <w:t xml:space="preserve">Comprehensive Biomedical Equipment Maintenance and Calibration Services</w:t>
      </w:r>
    </w:p>
    <w:p>
      <w:pPr>
        <w:pStyle w:val="BodyText"/>
      </w:pPr>
      <w:r>
        <w:rPr>
          <w:bCs/>
          <w:b/>
        </w:rPr>
        <w:t xml:space="preserve">Service Period:</w:t>
      </w:r>
      <w:r>
        <w:t xml:space="preserve"> </w:t>
      </w:r>
      <w:r>
        <w:t xml:space="preserve">January 1, 2024 - January 31, 2024</w:t>
      </w:r>
    </w:p>
    <w:p>
      <w:pPr>
        <w:pStyle w:val="BodyText"/>
      </w:pPr>
      <w:r>
        <w:rPr>
          <w:bCs/>
          <w:b/>
        </w:rPr>
        <w:t xml:space="preserve">Location:</w:t>
      </w:r>
      <w:r>
        <w:t xml:space="preserve"> </w:t>
      </w:r>
      <w:r>
        <w:t xml:space="preserve">RS Harapan Kita Medical Center, Indonesia Jakarta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Biomedical Engineering Services</w:t>
            </w:r>
          </w:p>
        </w:tc>
        <w:tc>
          <w:tcPr/>
          <w:p>
            <w:pPr>
              <w:pStyle w:val="Compact"/>
              <w:jc w:val="left"/>
            </w:pPr>
            <w:r>
              <w:t xml:space="preserve">Quantity</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rPr>
                <w:bCs/>
                <w:b/>
              </w:rPr>
              <w:t xml:space="preserve">Preventive Maintenance of Critical Care Equipment</w:t>
            </w:r>
            <w:r>
              <w:br/>
            </w:r>
            <w:r>
              <w:t xml:space="preserve">Comprehensive inspection, cleaning, and calibration of ventilators, patient monitors, and infusion pumps in ICU and CCU departments. Services performed by certified Biomedical Engineer technicians in accordance with Indonesian Ministry of Health standards and international biomedical engineering protocols.</w:t>
            </w:r>
          </w:p>
        </w:tc>
        <w:tc>
          <w:tcPr/>
          <w:p>
            <w:pPr>
              <w:pStyle w:val="Compact"/>
              <w:jc w:val="left"/>
            </w:pPr>
            <w:r>
              <w:t xml:space="preserve">40</w:t>
            </w:r>
          </w:p>
        </w:tc>
        <w:tc>
          <w:tcPr/>
          <w:p>
            <w:pPr>
              <w:pStyle w:val="Compact"/>
              <w:jc w:val="left"/>
            </w:pPr>
            <w:r>
              <w:t xml:space="preserve">1,250,000</w:t>
            </w:r>
          </w:p>
        </w:tc>
        <w:tc>
          <w:tcPr/>
          <w:p>
            <w:pPr>
              <w:pStyle w:val="Compact"/>
              <w:jc w:val="left"/>
            </w:pPr>
            <w:r>
              <w:t xml:space="preserve">50,000,000</w:t>
            </w:r>
          </w:p>
        </w:tc>
      </w:tr>
      <w:tr>
        <w:tc>
          <w:tcPr/>
          <w:p>
            <w:pPr>
              <w:pStyle w:val="Compact"/>
              <w:jc w:val="left"/>
            </w:pPr>
            <w:r>
              <w:t xml:space="preserve">2</w:t>
            </w:r>
          </w:p>
        </w:tc>
        <w:tc>
          <w:tcPr/>
          <w:p>
            <w:pPr>
              <w:pStyle w:val="Compact"/>
              <w:jc w:val="left"/>
            </w:pPr>
            <w:r>
              <w:rPr>
                <w:bCs/>
                <w:b/>
              </w:rPr>
              <w:t xml:space="preserve">Diagnostic Imaging Equipment Calibration</w:t>
            </w:r>
            <w:r>
              <w:br/>
            </w:r>
            <w:r>
              <w:t xml:space="preserve">Precision calibration and quality assurance testing for X-ray machines, ultrasound systems, and CT scanners. Includes safety testing, image quality verification, and radiation safety compliance checks as required by Indonesian biomedical equipment regulations.</w:t>
            </w:r>
          </w:p>
        </w:tc>
        <w:tc>
          <w:tcPr/>
          <w:p>
            <w:pPr>
              <w:pStyle w:val="Compact"/>
              <w:jc w:val="left"/>
            </w:pPr>
            <w:r>
              <w:t xml:space="preserve">12</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3</w:t>
            </w:r>
          </w:p>
        </w:tc>
        <w:tc>
          <w:tcPr/>
          <w:p>
            <w:pPr>
              <w:pStyle w:val="Compact"/>
              <w:jc w:val="left"/>
            </w:pPr>
            <w:r>
              <w:rPr>
                <w:bCs/>
                <w:b/>
              </w:rPr>
              <w:t xml:space="preserve">Emergency Repair Services</w:t>
            </w:r>
            <w:r>
              <w:br/>
            </w:r>
            <w:r>
              <w:t xml:space="preserve">Urgent troubleshooting and repair of malfunctioning biomedical devices including defibrillators, anesthesia machines, and surgical equipment. Includes replacement of defective components and post-repair testing to ensure optimal functionality and patient safety.</w:t>
            </w:r>
          </w:p>
        </w:tc>
        <w:tc>
          <w:tcPr/>
          <w:p>
            <w:pPr>
              <w:pStyle w:val="Compact"/>
              <w:jc w:val="left"/>
            </w:pPr>
            <w:r>
              <w:t xml:space="preserve">8</w:t>
            </w:r>
          </w:p>
        </w:tc>
        <w:tc>
          <w:tcPr/>
          <w:p>
            <w:pPr>
              <w:pStyle w:val="Compact"/>
              <w:jc w:val="left"/>
            </w:pPr>
            <w:r>
              <w:t xml:space="preserve">2,750,000</w:t>
            </w:r>
          </w:p>
        </w:tc>
        <w:tc>
          <w:tcPr/>
          <w:p>
            <w:pPr>
              <w:pStyle w:val="Compact"/>
              <w:jc w:val="left"/>
            </w:pPr>
            <w:r>
              <w:t xml:space="preserve">22,000,000</w:t>
            </w:r>
          </w:p>
        </w:tc>
      </w:tr>
      <w:tr>
        <w:tc>
          <w:tcPr/>
          <w:p>
            <w:pPr>
              <w:pStyle w:val="Compact"/>
              <w:jc w:val="left"/>
            </w:pPr>
            <w:r>
              <w:t xml:space="preserve">4</w:t>
            </w:r>
          </w:p>
        </w:tc>
        <w:tc>
          <w:tcPr/>
          <w:p>
            <w:pPr>
              <w:pStyle w:val="Compact"/>
              <w:jc w:val="left"/>
            </w:pPr>
            <w:r>
              <w:rPr>
                <w:bCs/>
                <w:b/>
              </w:rPr>
              <w:t xml:space="preserve">Biomedical Equipment Safety Testing</w:t>
            </w:r>
            <w:r>
              <w:br/>
            </w:r>
            <w:r>
              <w:t xml:space="preserve">Electrical safety testing and leakage current measurements for all medical electrical equipment in accordance with IEC 60601 standards and Indonesian national biomedical engineering guidelines. Includes detailed safety reports and compliance documentation.</w:t>
            </w:r>
          </w:p>
        </w:tc>
        <w:tc>
          <w:tcPr/>
          <w:p>
            <w:pPr>
              <w:pStyle w:val="Compact"/>
              <w:jc w:val="left"/>
            </w:pPr>
            <w:r>
              <w:t xml:space="preserve">150</w:t>
            </w:r>
          </w:p>
        </w:tc>
        <w:tc>
          <w:tcPr/>
          <w:p>
            <w:pPr>
              <w:pStyle w:val="Compact"/>
              <w:jc w:val="left"/>
            </w:pPr>
            <w:r>
              <w:t xml:space="preserve">450,000</w:t>
            </w:r>
          </w:p>
        </w:tc>
        <w:tc>
          <w:tcPr/>
          <w:p>
            <w:pPr>
              <w:pStyle w:val="Compact"/>
              <w:jc w:val="left"/>
            </w:pPr>
            <w:r>
              <w:t xml:space="preserve">67,500,000</w:t>
            </w:r>
          </w:p>
        </w:tc>
      </w:tr>
      <w:tr>
        <w:tc>
          <w:tcPr/>
          <w:p>
            <w:pPr>
              <w:pStyle w:val="Compact"/>
              <w:jc w:val="left"/>
            </w:pPr>
            <w:r>
              <w:t xml:space="preserve">5</w:t>
            </w:r>
          </w:p>
        </w:tc>
        <w:tc>
          <w:tcPr/>
          <w:p>
            <w:pPr>
              <w:pStyle w:val="Compact"/>
              <w:jc w:val="left"/>
            </w:pPr>
            <w:r>
              <w:rPr>
                <w:bCs/>
                <w:b/>
              </w:rPr>
              <w:t xml:space="preserve">Staff Training on Equipment Operation</w:t>
            </w:r>
            <w:r>
              <w:br/>
            </w:r>
            <w:r>
              <w:t xml:space="preserve">Professional training sessions conducted by senior Biomedical Engineer specialists for hospital staff on proper operation, basic troubleshooting, and maintenance procedures for newly installed medical equipment. Training conducted at Indonesia Jakarta facility.</w:t>
            </w:r>
          </w:p>
        </w:tc>
        <w:tc>
          <w:tcPr/>
          <w:p>
            <w:pPr>
              <w:pStyle w:val="Compact"/>
              <w:jc w:val="left"/>
            </w:pPr>
            <w:r>
              <w:t xml:space="preserve">4</w:t>
            </w:r>
          </w:p>
        </w:tc>
        <w:tc>
          <w:tcPr/>
          <w:p>
            <w:pPr>
              <w:pStyle w:val="Compact"/>
              <w:jc w:val="left"/>
            </w:pPr>
            <w:r>
              <w:t xml:space="preserve">5,000,000</w:t>
            </w:r>
          </w:p>
        </w:tc>
        <w:tc>
          <w:tcPr/>
          <w:p>
            <w:pPr>
              <w:pStyle w:val="Compact"/>
              <w:jc w:val="left"/>
            </w:pPr>
            <w:r>
              <w:t xml:space="preserve">20,000,000</w:t>
            </w:r>
          </w:p>
        </w:tc>
      </w:tr>
      <w:tr>
        <w:tc>
          <w:tcPr/>
          <w:p>
            <w:pPr>
              <w:pStyle w:val="Compact"/>
              <w:jc w:val="left"/>
            </w:pPr>
            <w:r>
              <w:t xml:space="preserve">6</w:t>
            </w:r>
          </w:p>
        </w:tc>
        <w:tc>
          <w:tcPr/>
          <w:p>
            <w:pPr>
              <w:pStyle w:val="Compact"/>
              <w:jc w:val="left"/>
            </w:pPr>
            <w:r>
              <w:rPr>
                <w:bCs/>
                <w:b/>
              </w:rPr>
              <w:t xml:space="preserve">Biomedical Engineering Consultation Services</w:t>
            </w:r>
            <w:r>
              <w:br/>
            </w:r>
            <w:r>
              <w:t xml:space="preserve">Expert consultation for medical equipment procurement planning, lifecycle management, and technology assessment. Includes site evaluation, equipment specification development, and regulatory compliance advisory services specific to Indonesian healthcare standards.</w:t>
            </w:r>
          </w:p>
        </w:tc>
        <w:tc>
          <w:tcPr/>
          <w:p>
            <w:pPr>
              <w:pStyle w:val="Compact"/>
              <w:jc w:val="left"/>
            </w:pPr>
            <w:r>
              <w:t xml:space="preserve">16</w:t>
            </w:r>
          </w:p>
        </w:tc>
        <w:tc>
          <w:tcPr/>
          <w:p>
            <w:pPr>
              <w:pStyle w:val="Compact"/>
              <w:jc w:val="left"/>
            </w:pPr>
            <w:r>
              <w:t xml:space="preserve">1,500,000</w:t>
            </w:r>
          </w:p>
        </w:tc>
        <w:tc>
          <w:tcPr/>
          <w:p>
            <w:pPr>
              <w:pStyle w:val="Compact"/>
              <w:jc w:val="left"/>
            </w:pPr>
            <w:r>
              <w:t xml:space="preserve">24,000,000</w:t>
            </w:r>
          </w:p>
        </w:tc>
      </w:tr>
      <w:tr>
        <w:tc>
          <w:tcPr/>
          <w:p>
            <w:pPr>
              <w:pStyle w:val="Compact"/>
              <w:jc w:val="left"/>
            </w:pPr>
            <w:r>
              <w:t xml:space="preserve">7</w:t>
            </w:r>
          </w:p>
        </w:tc>
        <w:tc>
          <w:tcPr/>
          <w:p>
            <w:pPr>
              <w:pStyle w:val="Compact"/>
              <w:jc w:val="left"/>
            </w:pPr>
            <w:r>
              <w:rPr>
                <w:bCs/>
                <w:b/>
              </w:rPr>
              <w:t xml:space="preserve">Documentation and Compliance Reporting</w:t>
            </w:r>
            <w:r>
              <w:br/>
            </w:r>
            <w:r>
              <w:t xml:space="preserve">Preparation of comprehensive maintenance logs, calibration certificates, safety test reports, and regulatory compliance documentation required by Indonesian health authorities. Includes digital record management system updates.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240,500,000</w:t>
            </w:r>
          </w:p>
        </w:tc>
      </w:tr>
      <w:tr>
        <w:tc>
          <w:tcPr/>
          <w:p>
            <w:pPr>
              <w:pStyle w:val="Compact"/>
              <w:jc w:val="left"/>
            </w:pPr>
            <w:r>
              <w:t xml:space="preserve">VAT (PPN) 11%:</w:t>
            </w:r>
          </w:p>
        </w:tc>
        <w:tc>
          <w:tcPr/>
          <w:p>
            <w:pPr>
              <w:pStyle w:val="Compact"/>
              <w:jc w:val="left"/>
            </w:pPr>
            <w:r>
              <w:t xml:space="preserve">IDR 26,455,000</w:t>
            </w:r>
          </w:p>
        </w:tc>
      </w:tr>
      <w:tr>
        <w:tc>
          <w:tcPr/>
          <w:p>
            <w:pPr>
              <w:pStyle w:val="Compact"/>
              <w:jc w:val="left"/>
            </w:pPr>
            <w:r>
              <w:t xml:space="preserve">Service Tax:</w:t>
            </w:r>
          </w:p>
        </w:tc>
        <w:tc>
          <w:tcPr/>
          <w:p>
            <w:pPr>
              <w:pStyle w:val="Compact"/>
              <w:jc w:val="left"/>
            </w:pPr>
            <w:r>
              <w:t xml:space="preserve">IDR 0</w:t>
            </w:r>
          </w:p>
        </w:tc>
      </w:tr>
      <w:tr>
        <w:tc>
          <w:tcPr/>
          <w:p>
            <w:pPr>
              <w:pStyle w:val="Compact"/>
              <w:jc w:val="left"/>
            </w:pPr>
            <w:r>
              <w:t xml:space="preserve">Grand Total:</w:t>
            </w:r>
          </w:p>
        </w:tc>
        <w:tc>
          <w:tcPr/>
          <w:p>
            <w:pPr>
              <w:pStyle w:val="Compact"/>
              <w:jc w:val="left"/>
            </w:pPr>
            <w:r>
              <w:t xml:space="preserve">IDR 266,955,000</w:t>
            </w:r>
          </w:p>
        </w:tc>
      </w:tr>
    </w:tbl>
    <w:bookmarkStart w:id="24" w:name="payment-instructions"/>
    <w:p>
      <w:pPr>
        <w:pStyle w:val="Heading3"/>
      </w:pPr>
      <w:r>
        <w:t xml:space="preserve">Payment Instructions:</w:t>
      </w:r>
    </w:p>
    <w:p>
      <w:pPr>
        <w:pStyle w:val="FirstParagraph"/>
      </w:pPr>
      <w:r>
        <w:t xml:space="preserve">Please remit payment within 30 days of invoice date to the following bank account:</w:t>
      </w:r>
    </w:p>
    <w:p>
      <w:pPr>
        <w:pStyle w:val="BodyText"/>
      </w:pPr>
      <w:r>
        <w:rPr>
          <w:bCs/>
          <w:b/>
        </w:rPr>
        <w:t xml:space="preserve">Bank Name:</w:t>
      </w:r>
      <w:r>
        <w:t xml:space="preserve"> </w:t>
      </w:r>
      <w:r>
        <w:t xml:space="preserve">Bank Central Asia (BCA)</w:t>
      </w:r>
    </w:p>
    <w:p>
      <w:pPr>
        <w:pStyle w:val="BodyText"/>
      </w:pPr>
      <w:r>
        <w:rPr>
          <w:bCs/>
          <w:b/>
        </w:rPr>
        <w:t xml:space="preserve">Branch:</w:t>
      </w:r>
      <w:r>
        <w:t xml:space="preserve"> </w:t>
      </w:r>
      <w:r>
        <w:t xml:space="preserve">Kuningan, Indonesia Jakarta</w:t>
      </w:r>
    </w:p>
    <w:p>
      <w:pPr>
        <w:pStyle w:val="BodyText"/>
      </w:pPr>
      <w:r>
        <w:rPr>
          <w:bCs/>
          <w:b/>
        </w:rPr>
        <w:t xml:space="preserve">Account Name:</w:t>
      </w:r>
      <w:r>
        <w:t xml:space="preserve"> </w:t>
      </w:r>
      <w:r>
        <w:t xml:space="preserve">MedTech Solutions Indonesia</w:t>
      </w:r>
    </w:p>
    <w:p>
      <w:pPr>
        <w:pStyle w:val="BodyText"/>
      </w:pPr>
      <w:r>
        <w:rPr>
          <w:bCs/>
          <w:b/>
        </w:rPr>
        <w:t xml:space="preserve">Account Number:</w:t>
      </w:r>
      <w:r>
        <w:t xml:space="preserve"> </w:t>
      </w:r>
      <w:r>
        <w:t xml:space="preserve">123-456-7890</w:t>
      </w:r>
    </w:p>
    <w:p>
      <w:pPr>
        <w:pStyle w:val="BodyText"/>
      </w:pPr>
      <w:r>
        <w:rPr>
          <w:bCs/>
          <w:b/>
        </w:rPr>
        <w:t xml:space="preserve">SWIFT Code:</w:t>
      </w:r>
      <w:r>
        <w:t xml:space="preserve"> </w:t>
      </w:r>
      <w:r>
        <w:t xml:space="preserve">CENAIDJA</w:t>
      </w:r>
    </w:p>
    <w:p>
      <w:pPr>
        <w:pStyle w:val="BodyText"/>
      </w:pPr>
      <w:r>
        <w:rPr>
          <w:bCs/>
          <w:b/>
        </w:rPr>
        <w:t xml:space="preserve">Reference:</w:t>
      </w:r>
      <w:r>
        <w:t xml:space="preserve"> </w:t>
      </w:r>
      <w:r>
        <w:t xml:space="preserve">INV-2024-BME-0847</w:t>
      </w:r>
    </w:p>
    <w:p>
      <w:pPr>
        <w:pStyle w:val="BodyText"/>
      </w:pPr>
      <w:r>
        <w:t xml:space="preserve">Please include the invoice number as payment reference. For international transfers, please contact our finance department for additional banking details.</w:t>
      </w:r>
    </w:p>
    <w:bookmarkEnd w:id="24"/>
    <w:bookmarkStart w:id="25" w:name="terms-and-conditions"/>
    <w:p>
      <w:pPr>
        <w:pStyle w:val="Heading3"/>
      </w:pPr>
      <w:r>
        <w:t xml:space="preserve">Terms and Conditions:</w:t>
      </w:r>
    </w:p>
    <w:p>
      <w:pPr>
        <w:pStyle w:val="FirstParagraph"/>
      </w:pPr>
      <w:r>
        <w:t xml:space="preserve">1. All biomedical engineering services are performed by certified professionals in accordance with Indonesian healthcare regulations and international biomedical engineering standards.</w:t>
      </w:r>
    </w:p>
    <w:p>
      <w:pPr>
        <w:pStyle w:val="BodyText"/>
      </w:pPr>
      <w:r>
        <w:t xml:space="preserve">2. Payment is due within 30 days of invoice date. Late payments will incur a penalty of 2% per month on the outstanding balance.</w:t>
      </w:r>
    </w:p>
    <w:p>
      <w:pPr>
        <w:pStyle w:val="BodyText"/>
      </w:pPr>
      <w:r>
        <w:t xml:space="preserve">3. All equipment calibrations and safety tests are guaranteed for 90 days from the date of service, provided normal operating conditions are maintained.</w:t>
      </w:r>
    </w:p>
    <w:p>
      <w:pPr>
        <w:pStyle w:val="BodyText"/>
      </w:pPr>
      <w:r>
        <w:t xml:space="preserve">4. Replacement parts used during repair services are covered by manufacturer warranty where applicable.</w:t>
      </w:r>
    </w:p>
    <w:p>
      <w:pPr>
        <w:pStyle w:val="BodyText"/>
      </w:pPr>
      <w:r>
        <w:t xml:space="preserve">5. This invoice is issued in compliance with Indonesian tax regulations. VAT (PPN) is calculated at the current rate of 11%.</w:t>
      </w:r>
    </w:p>
    <w:p>
      <w:pPr>
        <w:pStyle w:val="BodyText"/>
      </w:pPr>
      <w:r>
        <w:t xml:space="preserve">6. Any disputes regarding services rendered must be reported within 14 days of invoice receipt.</w:t>
      </w:r>
    </w:p>
    <w:p>
      <w:pPr>
        <w:pStyle w:val="BodyText"/>
      </w:pPr>
      <w:r>
        <w:t xml:space="preserve">7. All work is performed at the client's facility in Indonesia Jakarta unless otherwise specified in the service contract.</w:t>
      </w:r>
    </w:p>
    <w:p>
      <w:pPr>
        <w:pStyle w:val="BodyText"/>
      </w:pPr>
      <w:r>
        <w:t xml:space="preserve">8. MedTech Solutions Indonesia reserves the right to suspend services if payment terms are not met.</w:t>
      </w:r>
    </w:p>
    <w:bookmarkEnd w:id="25"/>
    <w:bookmarkStart w:id="26" w:name="additional-notes"/>
    <w:p>
      <w:pPr>
        <w:pStyle w:val="Heading3"/>
      </w:pPr>
      <w:r>
        <w:t xml:space="preserve">Additional Notes:</w:t>
      </w:r>
    </w:p>
    <w:p>
      <w:pPr>
        <w:pStyle w:val="FirstParagraph"/>
      </w:pPr>
      <w:r>
        <w:t xml:space="preserve">This invoice represents professional biomedical engineering services provided to ensure the safety, reliability, and regulatory compliance of medical equipment at RS Harapan Kita Medical Center. Our team of qualified Biomedical Engineer specialists is committed to maintaining the highest standards of medical technology management in Indonesia Jakarta and throughout Indonesia.</w:t>
      </w:r>
    </w:p>
    <w:p>
      <w:pPr>
        <w:pStyle w:val="BodyText"/>
      </w:pPr>
      <w:r>
        <w:t xml:space="preserve">For any questions regarding this invoice or the services provided, please contact our billing department at billing@medtechsolutions.id or call +62 21 555 0123 during business hours (Monday-Friday, 08:00-17:00 WIB).</w:t>
      </w:r>
    </w:p>
    <w:bookmarkEnd w:id="26"/>
    <w:p>
      <w:pPr>
        <w:pStyle w:val="BodyText"/>
      </w:pPr>
      <w:r>
        <w:t xml:space="preserve">MedTech Solutions Indonesia | Professional Biomedical Engineering Services | Indonesia Jakarta</w:t>
      </w:r>
    </w:p>
    <w:p>
      <w:pPr>
        <w:pStyle w:val="BodyText"/>
      </w:pPr>
      <w:r>
        <w:t xml:space="preserve">This is a computer-generated invoice and does not require a physical signature.</w:t>
      </w:r>
    </w:p>
    <w:p>
      <w:pPr>
        <w:pStyle w:val="BodyText"/>
      </w:pPr>
      <w:r>
        <w:t xml:space="preserve">Thank you for your business. We appreciate your trust in our biomedical engineering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 - Jakarta, Indonesia</dc:title>
  <dc:creator/>
  <dc:language>en</dc:language>
  <cp:keywords/>
  <dcterms:created xsi:type="dcterms:W3CDTF">2026-10-10T01:06:17Z</dcterms:created>
  <dcterms:modified xsi:type="dcterms:W3CDTF">2026-10-10T01:06:17Z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