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advanced-biomedical-solutions-ltd."/>
    <w:p>
      <w:pPr>
        <w:pStyle w:val="Heading1"/>
      </w:pPr>
      <w:r>
        <w:t xml:space="preserve">Advanced Biomedical Solutions Ltd.</w:t>
      </w:r>
    </w:p>
    <w:p>
      <w:pPr>
        <w:pStyle w:val="FirstParagraph"/>
      </w:pPr>
      <w:r>
        <w:t xml:space="preserve">Chiyoda-ku, Tokyo, Japan 100-0001</w:t>
      </w:r>
    </w:p>
    <w:p>
      <w:pPr>
        <w:pStyle w:val="BodyText"/>
      </w:pPr>
      <w:r>
        <w:t xml:space="preserve">Phone: +81-3-1234-5678</w:t>
      </w:r>
    </w:p>
    <w:p>
      <w:pPr>
        <w:pStyle w:val="BodyText"/>
      </w:pPr>
      <w:r>
        <w:t xml:space="preserve">Email: billing@advancedbiomedical.jp</w:t>
      </w:r>
    </w:p>
    <w:p>
      <w:pPr>
        <w:pStyle w:val="BodyText"/>
      </w:pPr>
      <w:r>
        <w:t xml:space="preserve">Corporate Number: 1234567890123</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St. Luke's International Hospital</w:t>
      </w:r>
    </w:p>
    <w:p>
      <w:pPr>
        <w:pStyle w:val="BodyText"/>
      </w:pPr>
      <w:r>
        <w:t xml:space="preserve">Department of Medical Engineering</w:t>
      </w:r>
    </w:p>
    <w:p>
      <w:pPr>
        <w:pStyle w:val="BodyText"/>
      </w:pPr>
      <w:r>
        <w:t xml:space="preserve">9-1, Chuo-dori 1-chome, Chuo-ku</w:t>
      </w:r>
    </w:p>
    <w:p>
      <w:pPr>
        <w:pStyle w:val="BodyText"/>
      </w:pPr>
      <w:r>
        <w:t xml:space="preserve">Tokyo, Japan 104-8560</w:t>
      </w:r>
    </w:p>
    <w:p>
      <w:pPr>
        <w:pStyle w:val="BodyText"/>
      </w:pPr>
      <w:r>
        <w:t xml:space="preserve">Attn: Procurement Department</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MRI Calibration &amp; Safety Audit</w:t>
      </w:r>
    </w:p>
    <w:bookmarkEnd w:id="23"/>
    <w:p>
      <w:pPr>
        <w:pStyle w:val="BodyText"/>
      </w:pPr>
      <w:r>
        <w:t xml:space="preserve">This invoice covers professional consulting and technical services provided by a certified</w:t>
      </w:r>
      <w:r>
        <w:t xml:space="preserve"> </w:t>
      </w:r>
      <w:r>
        <w:rPr>
          <w:bCs/>
          <w:b/>
        </w:rPr>
        <w:t xml:space="preserve">Biomedical Engineer</w:t>
      </w:r>
      <w:r>
        <w:t xml:space="preserve"> </w:t>
      </w:r>
      <w:r>
        <w:t xml:space="preserve">specializing in medical device maintenance and regulatory compliance. The services were executed in accordance with the strict safety standards required for healthcare facilities in</w:t>
      </w:r>
      <w:r>
        <w:t xml:space="preserve"> </w:t>
      </w:r>
      <w:r>
        <w:rPr>
          <w:bCs/>
          <w:b/>
        </w:rPr>
        <w:t xml:space="preserve">Japan Tokyo</w:t>
      </w:r>
      <w:r>
        <w:t xml:space="preserve">, ensuring full alignment with the Ministry of Health, Labour and Welfare (MHLW) regulations.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rPr>
                <w:bCs/>
                <w:b/>
              </w:rPr>
              <w:t xml:space="preserve">Comprehensive MRI System Calibration</w:t>
            </w:r>
            <w:r>
              <w:br/>
            </w:r>
            <w:r>
              <w:t xml:space="preserve">Detailed calibration of the 3.0 Tesla MRI unit located in the radiology wing. This service included gradient coil testing, RF coil integrity checks, and phantom imaging analysis to ensure diagnostic image quality meets ISO standards.</w:t>
            </w:r>
          </w:p>
        </w:tc>
        <w:tc>
          <w:tcPr/>
          <w:p>
            <w:pPr>
              <w:pStyle w:val="Compact"/>
              <w:jc w:val="left"/>
            </w:pPr>
            <w:r>
              <w:t xml:space="preserve">16.0</w:t>
            </w:r>
          </w:p>
        </w:tc>
        <w:tc>
          <w:tcPr/>
          <w:p>
            <w:pPr>
              <w:pStyle w:val="Compact"/>
              <w:jc w:val="left"/>
            </w:pPr>
            <w:r>
              <w:t xml:space="preserve">¥25,000</w:t>
            </w:r>
          </w:p>
        </w:tc>
        <w:tc>
          <w:tcPr/>
          <w:p>
            <w:pPr>
              <w:pStyle w:val="Compact"/>
              <w:jc w:val="left"/>
            </w:pPr>
            <w:r>
              <w:t xml:space="preserve">¥400,000</w:t>
            </w:r>
          </w:p>
        </w:tc>
      </w:tr>
      <w:tr>
        <w:tc>
          <w:tcPr/>
          <w:p>
            <w:pPr>
              <w:pStyle w:val="Compact"/>
              <w:jc w:val="left"/>
            </w:pPr>
            <w:r>
              <w:rPr>
                <w:bCs/>
                <w:b/>
              </w:rPr>
              <w:t xml:space="preserve">Biomedical Safety Audit &amp; Compliance Review</w:t>
            </w:r>
            <w:r>
              <w:br/>
            </w:r>
            <w:r>
              <w:t xml:space="preserve">On-site safety inspection of critical care equipment in the ICU. The</w:t>
            </w:r>
            <w:r>
              <w:t xml:space="preserve"> </w:t>
            </w:r>
            <w:r>
              <w:rPr>
                <w:bCs/>
                <w:b/>
              </w:rPr>
              <w:t xml:space="preserve">Biomedical Engineer</w:t>
            </w:r>
            <w:r>
              <w:t xml:space="preserve"> </w:t>
            </w:r>
            <w:r>
              <w:t xml:space="preserve">conducted electrical safety testing (leakage current, ground resistance) on 45 patient monitoring units and ventilators, ensuring compliance with Japanese Industrial Standards (JIS).</w:t>
            </w:r>
          </w:p>
        </w:tc>
        <w:tc>
          <w:tcPr/>
          <w:p>
            <w:pPr>
              <w:pStyle w:val="Compact"/>
              <w:jc w:val="left"/>
            </w:pPr>
            <w:r>
              <w:t xml:space="preserve">24.0</w:t>
            </w:r>
          </w:p>
        </w:tc>
        <w:tc>
          <w:tcPr/>
          <w:p>
            <w:pPr>
              <w:pStyle w:val="Compact"/>
              <w:jc w:val="left"/>
            </w:pPr>
            <w:r>
              <w:t xml:space="preserve">¥25,000</w:t>
            </w:r>
          </w:p>
        </w:tc>
        <w:tc>
          <w:tcPr/>
          <w:p>
            <w:pPr>
              <w:pStyle w:val="Compact"/>
              <w:jc w:val="left"/>
            </w:pPr>
            <w:r>
              <w:t xml:space="preserve">¥600,000</w:t>
            </w:r>
          </w:p>
        </w:tc>
      </w:tr>
      <w:tr>
        <w:tc>
          <w:tcPr/>
          <w:p>
            <w:pPr>
              <w:pStyle w:val="Compact"/>
              <w:jc w:val="left"/>
            </w:pPr>
            <w:r>
              <w:rPr>
                <w:bCs/>
                <w:b/>
              </w:rPr>
              <w:t xml:space="preserve">Regulatory Documentation &amp; Reporting</w:t>
            </w:r>
            <w:r>
              <w:br/>
            </w:r>
            <w:r>
              <w:t xml:space="preserve">Preparation of detailed technical reports and maintenance logs required for hospital accreditation. This includes translating technical specifications into Japanese regulatory formats suitable for submission to local health authorities in Tokyo.</w:t>
            </w:r>
          </w:p>
        </w:tc>
        <w:tc>
          <w:tcPr/>
          <w:p>
            <w:pPr>
              <w:pStyle w:val="Compact"/>
              <w:jc w:val="left"/>
            </w:pPr>
            <w:r>
              <w:t xml:space="preserve">8.0</w:t>
            </w:r>
          </w:p>
        </w:tc>
        <w:tc>
          <w:tcPr/>
          <w:p>
            <w:pPr>
              <w:pStyle w:val="Compact"/>
              <w:jc w:val="left"/>
            </w:pPr>
            <w:r>
              <w:t xml:space="preserve">¥20,000</w:t>
            </w:r>
          </w:p>
        </w:tc>
        <w:tc>
          <w:tcPr/>
          <w:p>
            <w:pPr>
              <w:pStyle w:val="Compact"/>
              <w:jc w:val="left"/>
            </w:pPr>
            <w:r>
              <w:t xml:space="preserve">¥160,000</w:t>
            </w:r>
          </w:p>
        </w:tc>
      </w:tr>
      <w:tr>
        <w:tc>
          <w:tcPr/>
          <w:p>
            <w:pPr>
              <w:pStyle w:val="Compact"/>
              <w:jc w:val="left"/>
            </w:pPr>
            <w:r>
              <w:rPr>
                <w:bCs/>
                <w:b/>
              </w:rPr>
              <w:t xml:space="preserve">Staff Training: Emergency Equipment Protocols</w:t>
            </w:r>
            <w:r>
              <w:br/>
            </w:r>
            <w:r>
              <w:t xml:space="preserve">Conducting a specialized workshop for nursing and technical staff on the proper operation and emergency troubleshooting of defibrillators and infusion pumps.</w:t>
            </w:r>
          </w:p>
        </w:tc>
        <w:tc>
          <w:tcPr/>
          <w:p>
            <w:pPr>
              <w:pStyle w:val="Compact"/>
              <w:jc w:val="left"/>
            </w:pPr>
            <w:r>
              <w:t xml:space="preserve">4.0</w:t>
            </w:r>
          </w:p>
        </w:tc>
        <w:tc>
          <w:tcPr/>
          <w:p>
            <w:pPr>
              <w:pStyle w:val="Compact"/>
              <w:jc w:val="left"/>
            </w:pPr>
            <w:r>
              <w:t xml:space="preserve">¥30,000</w:t>
            </w:r>
          </w:p>
        </w:tc>
        <w:tc>
          <w:tcPr/>
          <w:p>
            <w:pPr>
              <w:pStyle w:val="Compact"/>
              <w:jc w:val="left"/>
            </w:pPr>
            <w:r>
              <w:t xml:space="preserve">¥120,000</w:t>
            </w:r>
          </w:p>
        </w:tc>
      </w:tr>
    </w:tbl>
    <w:p>
      <w:pPr>
        <w:pStyle w:val="BodyText"/>
      </w:pPr>
      <w:r>
        <w:t xml:space="preserve">Subtotal:</w:t>
      </w:r>
      <w:r>
        <w:t xml:space="preserve"> </w:t>
      </w:r>
      <w:r>
        <w:t xml:space="preserve">¥1,280,000</w:t>
      </w:r>
    </w:p>
    <w:p>
      <w:pPr>
        <w:pStyle w:val="BodyText"/>
      </w:pPr>
      <w:r>
        <w:t xml:space="preserve">Consumables &amp; Parts:</w:t>
      </w:r>
      <w:r>
        <w:t xml:space="preserve"> </w:t>
      </w:r>
      <w:r>
        <w:t xml:space="preserve">¥50,000</w:t>
      </w:r>
    </w:p>
    <w:p>
      <w:pPr>
        <w:pStyle w:val="BodyText"/>
      </w:pPr>
      <w:r>
        <w:t xml:space="preserve">Consumption Tax (10%):</w:t>
      </w:r>
      <w:r>
        <w:t xml:space="preserve"> </w:t>
      </w:r>
      <w:r>
        <w:t xml:space="preserve">¥133,000</w:t>
      </w:r>
    </w:p>
    <w:p>
      <w:pPr>
        <w:pStyle w:val="BodyText"/>
      </w:pPr>
      <w:r>
        <w:t xml:space="preserve">Total Due:</w:t>
      </w:r>
      <w:r>
        <w:t xml:space="preserve"> </w:t>
      </w:r>
      <w:r>
        <w:t xml:space="preserve">¥1,463,000</w:t>
      </w:r>
    </w:p>
    <w:bookmarkStart w:id="24" w:name="payment-terms-bank-details"/>
    <w:p>
      <w:pPr>
        <w:pStyle w:val="Heading4"/>
      </w:pPr>
      <w:r>
        <w:t xml:space="preserve">Payment Terms &amp; Bank Details</w:t>
      </w:r>
    </w:p>
    <w:p>
      <w:pPr>
        <w:pStyle w:val="FirstParagraph"/>
      </w:pPr>
      <w:r>
        <w:t xml:space="preserve">Payment is due within 30 days of the invoice date. Please include the invoice number in your payment reference.</w:t>
      </w:r>
    </w:p>
    <w:p>
      <w:pPr>
        <w:pStyle w:val="BodyText"/>
      </w:pPr>
      <w:r>
        <w:rPr>
          <w:bCs/>
          <w:b/>
        </w:rPr>
        <w:t xml:space="preserve">Bank Name:</w:t>
      </w:r>
      <w:r>
        <w:t xml:space="preserve"> </w:t>
      </w:r>
      <w:r>
        <w:t xml:space="preserve">MUFG Bank, Ltd.</w:t>
      </w:r>
    </w:p>
    <w:p>
      <w:pPr>
        <w:pStyle w:val="BodyText"/>
      </w:pPr>
      <w:r>
        <w:rPr>
          <w:bCs/>
          <w:b/>
        </w:rPr>
        <w:t xml:space="preserve">Branch:</w:t>
      </w:r>
      <w:r>
        <w:t xml:space="preserve"> </w:t>
      </w:r>
      <w:r>
        <w:t xml:space="preserve">Tokyo Head Office</w:t>
      </w:r>
    </w:p>
    <w:p>
      <w:pPr>
        <w:pStyle w:val="BodyText"/>
      </w:pPr>
      <w:r>
        <w:rPr>
          <w:bCs/>
          <w:b/>
        </w:rPr>
        <w:t xml:space="preserve">Account Type:</w:t>
      </w:r>
      <w:r>
        <w:t xml:space="preserve"> </w:t>
      </w:r>
      <w:r>
        <w:t xml:space="preserve">Ordinary Account</w:t>
      </w:r>
    </w:p>
    <w:p>
      <w:pPr>
        <w:pStyle w:val="BodyText"/>
      </w:pPr>
      <w:r>
        <w:rPr>
          <w:bCs/>
          <w:b/>
        </w:rPr>
        <w:t xml:space="preserve">Account Number:</w:t>
      </w:r>
      <w:r>
        <w:t xml:space="preserve"> </w:t>
      </w:r>
      <w:r>
        <w:t xml:space="preserve">1234567</w:t>
      </w:r>
    </w:p>
    <w:p>
      <w:pPr>
        <w:pStyle w:val="BodyText"/>
      </w:pPr>
      <w:r>
        <w:rPr>
          <w:bCs/>
          <w:b/>
        </w:rPr>
        <w:t xml:space="preserve">Account Name:</w:t>
      </w:r>
      <w:r>
        <w:t xml:space="preserve"> </w:t>
      </w:r>
      <w:r>
        <w:t xml:space="preserve">Advanced Biomedical Solutions Ltd.</w:t>
      </w:r>
    </w:p>
    <w:p>
      <w:pPr>
        <w:pStyle w:val="BodyText"/>
      </w:pPr>
      <w:r>
        <w:rPr>
          <w:bCs/>
          <w:b/>
        </w:rPr>
        <w:t xml:space="preserve">SWIFT Code:</w:t>
      </w:r>
      <w:r>
        <w:t xml:space="preserve"> </w:t>
      </w:r>
      <w:r>
        <w:t xml:space="preserve">BOTKJPJT</w:t>
      </w:r>
    </w:p>
    <w:bookmarkEnd w:id="24"/>
    <w:bookmarkStart w:id="25" w:name="service-guarantee"/>
    <w:p>
      <w:pPr>
        <w:pStyle w:val="Heading4"/>
      </w:pPr>
      <w:r>
        <w:t xml:space="preserve">Service Guarantee</w:t>
      </w:r>
    </w:p>
    <w:p>
      <w:pPr>
        <w:pStyle w:val="FirstParagraph"/>
      </w:pPr>
      <w:r>
        <w:t xml:space="preserve">As a leading provider of biomedical engineering services in</w:t>
      </w:r>
      <w:r>
        <w:t xml:space="preserve"> </w:t>
      </w:r>
      <w:r>
        <w:rPr>
          <w:bCs/>
          <w:b/>
        </w:rPr>
        <w:t xml:space="preserve">Japan Tokyo</w:t>
      </w:r>
      <w:r>
        <w:t xml:space="preserve">, we guarantee that all work performed adheres to the highest international and local safety standards. Our certified</w:t>
      </w:r>
      <w:r>
        <w:t xml:space="preserve"> </w:t>
      </w:r>
      <w:r>
        <w:rPr>
          <w:bCs/>
          <w:b/>
        </w:rPr>
        <w:t xml:space="preserve">Biomedical Engineer</w:t>
      </w:r>
      <w:r>
        <w:t xml:space="preserve"> </w:t>
      </w:r>
      <w:r>
        <w:t xml:space="preserve">ensures that all medical devices are optimized for performance, safety, and longevity. This invoice represents the final settlement for the services rendered during the period of October 10, 2023, to October 20, 2023.</w:t>
      </w:r>
    </w:p>
    <w:p>
      <w:pPr>
        <w:pStyle w:val="BodyText"/>
      </w:pPr>
      <w:r>
        <w:t xml:space="preserve">For any questions regarding this invoice or the technical specifications of the work performed, please contact our accounts department or the lead engineer directly. We appreciate your business and look forward to continuing our partnership in maintaining the excellence of your medical infrastructure.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2026-10-10T01:53:58Z</dcterms:created>
  <dcterms:modified xsi:type="dcterms:W3CDTF">2026-10-10T01:53:58Z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