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dvanced-biomedical-solutions-ksa"/>
    <w:p>
      <w:pPr>
        <w:pStyle w:val="Heading1"/>
      </w:pPr>
      <w:r>
        <w:t xml:space="preserve">Advanced Biomedical Solutions KSA</w:t>
      </w:r>
    </w:p>
    <w:p>
      <w:pPr>
        <w:pStyle w:val="FirstParagraph"/>
      </w:pPr>
      <w:r>
        <w:t xml:space="preserve">Professional Biomedical Engineering Services</w:t>
      </w:r>
    </w:p>
    <w:p>
      <w:pPr>
        <w:pStyle w:val="BodyText"/>
      </w:pPr>
      <w:r>
        <w:t xml:space="preserve">Office 402, Al Olaya District, King Fahd Road</w:t>
      </w:r>
    </w:p>
    <w:p>
      <w:pPr>
        <w:pStyle w:val="BodyText"/>
      </w:pPr>
      <w:r>
        <w:t xml:space="preserve">Riyadh, Saudi Arabia 12211</w:t>
      </w:r>
    </w:p>
    <w:p>
      <w:pPr>
        <w:pStyle w:val="BodyText"/>
      </w:pPr>
      <w:r>
        <w:t xml:space="preserve">VAT Registration Number: 310123456789003</w:t>
      </w:r>
    </w:p>
    <w:p>
      <w:pPr>
        <w:pStyle w:val="BodyText"/>
      </w:pPr>
      <w:r>
        <w:t xml:space="preserve">Commercial Registration: 1010234567</w:t>
      </w:r>
    </w:p>
    <w:p>
      <w:pPr>
        <w:pStyle w:val="BodyText"/>
      </w:pPr>
      <w:r>
        <w:t xml:space="preserve">Email: billing@advancedbiomedicalksa.com</w:t>
      </w:r>
    </w:p>
    <w:p>
      <w:pPr>
        <w:pStyle w:val="BodyText"/>
      </w:pPr>
      <w:r>
        <w:t xml:space="preserve">Phone: +966 11 234 5678</w:t>
      </w:r>
    </w:p>
    <w:bookmarkEnd w:id="20"/>
    <w:bookmarkStart w:id="21" w:name="invoice"/>
    <w:p>
      <w:pPr>
        <w:pStyle w:val="Heading2"/>
      </w:pPr>
      <w:r>
        <w:t xml:space="preserve">INVOICE</w:t>
      </w:r>
    </w:p>
    <w:p>
      <w:pPr>
        <w:pStyle w:val="FirstParagraph"/>
      </w:pPr>
      <w:r>
        <w:t xml:space="preserve">Tax Invoice</w:t>
      </w:r>
    </w:p>
    <w:bookmarkEnd w:id="21"/>
    <w:p>
      <w:pPr>
        <w:pStyle w:val="BodyText"/>
      </w:pPr>
      <w:r>
        <w:rPr>
          <w:bCs/>
          <w:b/>
        </w:rPr>
        <w:t xml:space="preserve">Billed To:</w:t>
      </w:r>
      <w:r>
        <w:br/>
      </w:r>
      <w:r>
        <w:t xml:space="preserve">King Fahd Medical Complex</w:t>
      </w:r>
      <w:r>
        <w:br/>
      </w:r>
      <w:r>
        <w:t xml:space="preserve">Procurement Department</w:t>
      </w:r>
      <w:r>
        <w:br/>
      </w:r>
      <w:r>
        <w:t xml:space="preserve">Al Malqa District</w:t>
      </w:r>
      <w:r>
        <w:br/>
      </w:r>
      <w:r>
        <w:t xml:space="preserve">Riyadh, Saudi Arabia 11525</w:t>
      </w:r>
      <w:r>
        <w:br/>
      </w:r>
      <w:r>
        <w:t xml:space="preserve">Contact: Dr. Ahmed Al-Rashid</w:t>
      </w:r>
      <w:r>
        <w:br/>
      </w:r>
      <w:r>
        <w:t xml:space="preserve">Email: procurement@kfmc.gov.sa</w:t>
      </w:r>
      <w:r>
        <w:br/>
      </w:r>
      <w:r>
        <w:t xml:space="preserve">CR Number: 1010987654</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Invoice Date:</w:t>
            </w:r>
          </w:p>
        </w:tc>
        <w:tc>
          <w:tcPr/>
          <w:p>
            <w:pPr>
              <w:pStyle w:val="Compact"/>
              <w:jc w:val="left"/>
            </w:pPr>
            <w:r>
              <w:t xml:space="preserve">15 January 2024</w:t>
            </w:r>
          </w:p>
        </w:tc>
      </w:tr>
      <w:tr>
        <w:tc>
          <w:tcPr/>
          <w:p>
            <w:pPr>
              <w:pStyle w:val="Compact"/>
              <w:jc w:val="left"/>
            </w:pPr>
            <w:r>
              <w:t xml:space="preserve">Due Date:</w:t>
            </w:r>
          </w:p>
        </w:tc>
        <w:tc>
          <w:tcPr/>
          <w:p>
            <w:pPr>
              <w:pStyle w:val="Compact"/>
              <w:jc w:val="left"/>
            </w:pPr>
            <w:r>
              <w:t xml:space="preserve">14 February 2024</w:t>
            </w:r>
          </w:p>
        </w:tc>
      </w:tr>
      <w:tr>
        <w:tc>
          <w:tcPr/>
          <w:p>
            <w:pPr>
              <w:pStyle w:val="Compact"/>
              <w:jc w:val="left"/>
            </w:pPr>
            <w:r>
              <w:t xml:space="preserve">Service Period:</w:t>
            </w:r>
          </w:p>
        </w:tc>
        <w:tc>
          <w:tcPr/>
          <w:p>
            <w:pPr>
              <w:pStyle w:val="Compact"/>
              <w:jc w:val="left"/>
            </w:pPr>
            <w:r>
              <w:t xml:space="preserve">01 January 2024 - 31 January 2024</w:t>
            </w:r>
          </w:p>
        </w:tc>
      </w:tr>
      <w:tr>
        <w:tc>
          <w:tcPr/>
          <w:p>
            <w:pPr>
              <w:pStyle w:val="Compact"/>
              <w:jc w:val="left"/>
            </w:pPr>
            <w:r>
              <w:t xml:space="preserve">Payment Terms:</w:t>
            </w:r>
          </w:p>
        </w:tc>
        <w:tc>
          <w:tcPr/>
          <w:p>
            <w:pPr>
              <w:pStyle w:val="Compact"/>
              <w:jc w:val="left"/>
            </w:pPr>
            <w:r>
              <w:t xml:space="preserve">Net 30 Days</w:t>
            </w:r>
          </w:p>
        </w:tc>
      </w:tr>
    </w:tbl>
    <w:p>
      <w:pPr>
        <w:pStyle w:val="BodyText"/>
      </w:pPr>
      <w:r>
        <w:rPr>
          <w:bCs/>
          <w:b/>
        </w:rPr>
        <w:t xml:space="preserve">Important Notice:</w:t>
      </w:r>
      <w:r>
        <w:t xml:space="preserve"> </w:t>
      </w:r>
      <w:r>
        <w:t xml:space="preserve">This invoice is issued in accordance with the Value Added Tax (VAT) regulations enforced by the Zakat, Tax and Customs Authority (ZATCA) in Saudi Arabia. All services described herein were performed by certified Biomedical Engineers within the Kingdom of Saudi Arabia, specifically in the Riyadh region, ensuring full compliance with local healthcare standards and regulatory requirements.</w:t>
      </w:r>
    </w:p>
    <w:tbl>
      <w:tblPr>
        <w:tblStyle w:val="Table"/>
        <w:tblW w:type="pct" w:w="500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VAT 15%</w:t>
            </w:r>
          </w:p>
        </w:tc>
        <w:tc>
          <w:tcPr/>
          <w:p>
            <w:pPr>
              <w:pStyle w:val="Compact"/>
            </w:pPr>
          </w:p>
        </w:tc>
      </w:tr>
      <w:tr>
        <w:tc>
          <w:tcPr/>
          <w:p>
            <w:pPr>
              <w:pStyle w:val="Compact"/>
              <w:jc w:val="left"/>
            </w:pPr>
            <w:r>
              <w:t xml:space="preserve">1</w:t>
            </w:r>
          </w:p>
        </w:tc>
        <w:tc>
          <w:tcPr/>
          <w:p>
            <w:pPr>
              <w:pStyle w:val="Compact"/>
              <w:jc w:val="left"/>
            </w:pPr>
            <w:r>
              <w:rPr>
                <w:bCs/>
                <w:b/>
              </w:rPr>
              <w:t xml:space="preserve">Preventive Maintenance of MRI Systems</w:t>
            </w:r>
            <w:r>
              <w:br/>
            </w:r>
            <w:r>
              <w:t xml:space="preserve">Comprehensive inspection, calibration, and preventive maintenance of three (3) MRI units located at King Fahd Medical Complex, Riyadh. Services performed by licensed Biomedical Engineers include gradient coil testing, RF system verification, cryogen level assessment, and safety compliance checks in accordance with Saudi Food and Drug Authority (SFDA) guidelines.</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2,025.00</w:t>
            </w:r>
          </w:p>
        </w:tc>
        <w:tc>
          <w:tcPr/>
          <w:p>
            <w:pPr>
              <w:pStyle w:val="Compact"/>
            </w:pPr>
          </w:p>
        </w:tc>
      </w:tr>
      <w:tr>
        <w:tc>
          <w:tcPr/>
          <w:p>
            <w:pPr>
              <w:pStyle w:val="Compact"/>
              <w:jc w:val="left"/>
            </w:pPr>
            <w:r>
              <w:t xml:space="preserve">2</w:t>
            </w:r>
          </w:p>
        </w:tc>
        <w:tc>
          <w:tcPr/>
          <w:p>
            <w:pPr>
              <w:pStyle w:val="Compact"/>
              <w:jc w:val="left"/>
            </w:pPr>
            <w:r>
              <w:rPr>
                <w:bCs/>
                <w:b/>
              </w:rPr>
              <w:t xml:space="preserve">Biomedical Equipment Calibration Services</w:t>
            </w:r>
          </w:p>
        </w:tc>
        <w:tc>
          <w:tcPr/>
          <w:p>
            <w:pPr>
              <w:pStyle w:val="Compact"/>
              <w:jc w:val="left"/>
            </w:pPr>
            <w:r>
              <w:t xml:space="preserve">Precision calibration of patient monitoring systems, infusion pumps, and ventilators across intensive care units. All calibrations conducted by certified Biomedical Engineers using traceable reference standards. Detailed calibration certificates provided for each device to ensure compliance with international and Saudi Arabian healthcare regulations.</w:t>
            </w:r>
          </w:p>
        </w:tc>
        <w:tc>
          <w:tcPr/>
          <w:p>
            <w:pPr>
              <w:pStyle w:val="Compact"/>
              <w:jc w:val="left"/>
            </w:pPr>
            <w:r>
              <w:t xml:space="preserve">45</w:t>
            </w:r>
          </w:p>
        </w:tc>
        <w:tc>
          <w:tcPr/>
          <w:p>
            <w:pPr>
              <w:pStyle w:val="Compact"/>
              <w:jc w:val="left"/>
            </w:pPr>
            <w:r>
              <w:t xml:space="preserve">350.00</w:t>
            </w:r>
          </w:p>
        </w:tc>
        <w:tc>
          <w:tcPr/>
          <w:p>
            <w:pPr>
              <w:pStyle w:val="Compact"/>
              <w:jc w:val="left"/>
            </w:pPr>
            <w:r>
              <w:t xml:space="preserve">15,750.00</w:t>
            </w:r>
          </w:p>
        </w:tc>
        <w:tc>
          <w:tcPr/>
          <w:p>
            <w:pPr>
              <w:pStyle w:val="Compact"/>
              <w:jc w:val="left"/>
            </w:pPr>
            <w:r>
              <w:t xml:space="preserve">2,362.50</w:t>
            </w:r>
          </w:p>
        </w:tc>
      </w:tr>
      <w:tr>
        <w:tc>
          <w:tcPr/>
          <w:p>
            <w:pPr>
              <w:pStyle w:val="Compact"/>
              <w:jc w:val="left"/>
            </w:pPr>
            <w:r>
              <w:t xml:space="preserve">3</w:t>
            </w:r>
          </w:p>
        </w:tc>
        <w:tc>
          <w:tcPr/>
          <w:p>
            <w:pPr>
              <w:pStyle w:val="Compact"/>
              <w:jc w:val="left"/>
            </w:pPr>
            <w:r>
              <w:rPr>
                <w:bCs/>
                <w:b/>
              </w:rPr>
              <w:t xml:space="preserve">Emergency Repair of CT Scanner</w:t>
            </w:r>
            <w:r>
              <w:br/>
            </w:r>
            <w:r>
              <w:t xml:space="preserve">Urgent diagnostic and repair services for Siemens SOMATOM CT scanner experiencing gantry rotation failure. Biomedical Engineers performed on-site troubleshooting, identified faulty slip ring assembly, replaced components, and conducted full system validation. Service completed within Riyadh facility with minimal downtime to ensure continuous patient care operations.</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1,230.00</w:t>
            </w:r>
          </w:p>
        </w:tc>
        <w:tc>
          <w:tcPr/>
          <w:p>
            <w:pPr>
              <w:pStyle w:val="Compact"/>
            </w:pPr>
          </w:p>
        </w:tc>
      </w:tr>
      <w:tr>
        <w:tc>
          <w:tcPr/>
          <w:p>
            <w:pPr>
              <w:pStyle w:val="Compact"/>
              <w:jc w:val="left"/>
            </w:pPr>
            <w:r>
              <w:t xml:space="preserve">4</w:t>
            </w:r>
          </w:p>
        </w:tc>
        <w:tc>
          <w:tcPr/>
          <w:p>
            <w:pPr>
              <w:pStyle w:val="Compact"/>
              <w:jc w:val="left"/>
            </w:pPr>
            <w:r>
              <w:rPr>
                <w:bCs/>
                <w:b/>
              </w:rPr>
              <w:t xml:space="preserve">Biomedical Safety Inspection and Compliance Audit</w:t>
            </w:r>
            <w:r>
              <w:br/>
            </w:r>
            <w:r>
              <w:t xml:space="preserve">Complete electrical safety testing and biomedical equipment compliance audit for operating rooms and emergency departments. Services include leakage current testing, ground continuity verification, and insulation resistance measurements performed by qualified Biomedical Engineers. Comprehensive report submitted detailing all findings and recommendations in accordance with Saudi Arabian healthcare facility standards.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1,020.00</w:t>
            </w:r>
          </w:p>
        </w:tc>
        <w:tc>
          <w:tcPr/>
          <w:p>
            <w:pPr>
              <w:pStyle w:val="Compact"/>
            </w:pPr>
          </w:p>
        </w:tc>
      </w:tr>
      <w:tr>
        <w:tc>
          <w:tcPr/>
          <w:p>
            <w:pPr>
              <w:pStyle w:val="Compact"/>
              <w:jc w:val="left"/>
            </w:pPr>
            <w:r>
              <w:t xml:space="preserve">5</w:t>
            </w:r>
          </w:p>
        </w:tc>
        <w:tc>
          <w:tcPr/>
          <w:p>
            <w:pPr>
              <w:pStyle w:val="Compact"/>
              <w:jc w:val="left"/>
            </w:pPr>
            <w:r>
              <w:rPr>
                <w:bCs/>
                <w:b/>
              </w:rPr>
              <w:t xml:space="preserve">Installation and Commissioning of Patient Monitoring System</w:t>
            </w:r>
            <w:r>
              <w:br/>
            </w:r>
            <w:r>
              <w:t xml:space="preserve">Professional installation, configuration, and commissioning of central patient monitoring system for 20-bed cardiac care unit. Biomedical Engineers completed network integration, bedside monitor setup, alarm configuration, and staff training. All work performed at facility location in Riyadh with full documentation and warranty registration.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1,875.00</w:t>
            </w:r>
          </w:p>
        </w:tc>
        <w:tc>
          <w:tcPr/>
          <w:p>
            <w:pPr>
              <w:pStyle w:val="Compact"/>
            </w:pPr>
          </w:p>
        </w:tc>
      </w:tr>
      <w:tr>
        <w:tc>
          <w:tcPr/>
          <w:p>
            <w:pPr>
              <w:pStyle w:val="Compact"/>
              <w:jc w:val="left"/>
            </w:pPr>
            <w:r>
              <w:t xml:space="preserve">6</w:t>
            </w:r>
          </w:p>
        </w:tc>
        <w:tc>
          <w:tcPr/>
          <w:p>
            <w:pPr>
              <w:pStyle w:val="Compact"/>
              <w:jc w:val="left"/>
            </w:pPr>
            <w:r>
              <w:rPr>
                <w:bCs/>
                <w:b/>
              </w:rPr>
              <w:t xml:space="preserve">Biomedical Engineering Consultation Services</w:t>
            </w:r>
            <w:r>
              <w:br/>
            </w:r>
            <w:r>
              <w:t xml:space="preserve">Strategic consultation regarding biomedical equipment lifecycle management and technology upgrade planning. Senior Biomedical Engineers provided detailed assessment of current equipment inventory, recommended replacement schedules, and cost-benefit analysis for proposed acquisitions. Services delivered through on-site meetings at Riyadh headquarters and follow-up technical documentation.</w:t>
            </w:r>
          </w:p>
        </w:tc>
        <w:tc>
          <w:tcPr/>
          <w:p>
            <w:pPr>
              <w:pStyle w:val="Compact"/>
              <w:jc w:val="left"/>
            </w:pPr>
            <w:r>
              <w:t xml:space="preserve">16</w:t>
            </w:r>
          </w:p>
        </w:tc>
        <w:tc>
          <w:tcPr/>
          <w:p>
            <w:pPr>
              <w:pStyle w:val="Compact"/>
              <w:jc w:val="left"/>
            </w:pPr>
            <w:r>
              <w:t xml:space="preserve">450.00</w:t>
            </w:r>
          </w:p>
        </w:tc>
        <w:tc>
          <w:tcPr/>
          <w:p>
            <w:pPr>
              <w:pStyle w:val="Compact"/>
              <w:jc w:val="left"/>
            </w:pPr>
            <w:r>
              <w:t xml:space="preserve">7,200.00</w:t>
            </w:r>
          </w:p>
        </w:tc>
        <w:tc>
          <w:tcPr/>
          <w:p>
            <w:pPr>
              <w:pStyle w:val="Compact"/>
              <w:jc w:val="left"/>
            </w:pPr>
            <w:r>
              <w:t xml:space="preserve">1,080.00</w:t>
            </w:r>
          </w:p>
        </w:tc>
        <w:tc>
          <w:tcPr/>
          <w:p>
            <w:pPr>
              <w:pStyle w:val="Compact"/>
            </w:pP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63,950.00 SAR</w:t>
            </w:r>
          </w:p>
        </w:tc>
      </w:tr>
      <w:tr>
        <w:tc>
          <w:tcPr/>
          <w:p>
            <w:pPr>
              <w:pStyle w:val="Compact"/>
              <w:jc w:val="left"/>
            </w:pPr>
            <w:r>
              <w:t xml:space="preserve">VAT (15%):</w:t>
            </w:r>
          </w:p>
        </w:tc>
        <w:tc>
          <w:tcPr/>
          <w:p>
            <w:pPr>
              <w:pStyle w:val="Compact"/>
              <w:jc w:val="left"/>
            </w:pPr>
            <w:r>
              <w:t xml:space="preserve">9,592.50 SAR</w:t>
            </w:r>
          </w:p>
        </w:tc>
      </w:tr>
      <w:tr>
        <w:tc>
          <w:tcPr/>
          <w:p>
            <w:pPr>
              <w:pStyle w:val="Compact"/>
              <w:jc w:val="left"/>
            </w:pPr>
            <w:r>
              <w:t xml:space="preserve">Grand Total:</w:t>
            </w:r>
          </w:p>
        </w:tc>
        <w:tc>
          <w:tcPr/>
          <w:p>
            <w:pPr>
              <w:pStyle w:val="Compact"/>
              <w:jc w:val="left"/>
            </w:pPr>
            <w:r>
              <w:t xml:space="preserve">73,542.50 SAR</w:t>
            </w:r>
          </w:p>
        </w:tc>
      </w:tr>
    </w:tbl>
    <w:bookmarkStart w:id="22" w:name="payment-instructions"/>
    <w:p>
      <w:pPr>
        <w:pStyle w:val="Heading4"/>
      </w:pPr>
      <w:r>
        <w:t xml:space="preserve">Payment Instructions:</w:t>
      </w:r>
    </w:p>
    <w:p>
      <w:pPr>
        <w:pStyle w:val="FirstParagraph"/>
      </w:pPr>
      <w:r>
        <w:t xml:space="preserve">Please remit payment via bank transfer to the following account:</w:t>
      </w:r>
      <w:r>
        <w:br/>
      </w:r>
      <w:r>
        <w:rPr>
          <w:bCs/>
          <w:b/>
        </w:rPr>
        <w:t xml:space="preserve">Bank:</w:t>
      </w:r>
      <w:r>
        <w:t xml:space="preserve"> </w:t>
      </w:r>
      <w:r>
        <w:t xml:space="preserve">Al Rajhi Bank</w:t>
      </w:r>
      <w:r>
        <w:br/>
      </w:r>
      <w:r>
        <w:rPr>
          <w:bCs/>
          <w:b/>
        </w:rPr>
        <w:t xml:space="preserve">Account Name:</w:t>
      </w:r>
      <w:r>
        <w:t xml:space="preserve"> </w:t>
      </w:r>
      <w:r>
        <w:t xml:space="preserve">Advanced Biomedical Solutions KSA</w:t>
      </w:r>
      <w:r>
        <w:br/>
      </w:r>
      <w:r>
        <w:rPr>
          <w:bCs/>
          <w:b/>
        </w:rPr>
        <w:t xml:space="preserve">IBAN:</w:t>
      </w:r>
      <w:r>
        <w:t xml:space="preserve"> </w:t>
      </w:r>
      <w:r>
        <w:t xml:space="preserve">SA03 8000 0000 6080 1016 7519</w:t>
      </w:r>
      <w:r>
        <w:br/>
      </w:r>
      <w:r>
        <w:rPr>
          <w:bCs/>
          <w:b/>
        </w:rPr>
        <w:t xml:space="preserve">SWIFT Code:</w:t>
      </w:r>
      <w:r>
        <w:t xml:space="preserve"> </w:t>
      </w:r>
      <w:r>
        <w:t xml:space="preserve">NBSASAAR</w:t>
      </w:r>
      <w:r>
        <w:br/>
      </w:r>
      <w:r>
        <w:rPr>
          <w:bCs/>
          <w:b/>
        </w:rPr>
        <w:t xml:space="preserve">Branch:</w:t>
      </w:r>
      <w:r>
        <w:t xml:space="preserve"> </w:t>
      </w:r>
      <w:r>
        <w:t xml:space="preserve">Riyadh - Al Olaya</w:t>
      </w:r>
    </w:p>
    <w:p>
      <w:pPr>
        <w:pStyle w:val="BodyText"/>
      </w:pPr>
      <w:r>
        <w:t xml:space="preserve">Please reference Invoice Number INV-2024-0892 in your payment details. All amounts are stated in Saudi Riyals (SAR). Payment is due within thirty (30) days from the invoice date. Late payments may be subject to a penalty of 1.5% per month as per Saudi Arabian commercial regulations.</w:t>
      </w:r>
    </w:p>
    <w:bookmarkEnd w:id="22"/>
    <w:bookmarkStart w:id="23" w:name="terms-and-conditions"/>
    <w:p>
      <w:pPr>
        <w:pStyle w:val="Heading4"/>
      </w:pPr>
      <w:r>
        <w:t xml:space="preserve">Terms and Conditions:</w:t>
      </w:r>
    </w:p>
    <w:p>
      <w:pPr>
        <w:pStyle w:val="FirstParagraph"/>
      </w:pPr>
      <w:r>
        <w:t xml:space="preserve">1. All Biomedical Engineering services described in this invoice were performed by qualified and licensed professionals in accordance with the standards set by the Saudi Commission for Health Specialties (SCFHS) and the Saudi Food and Drug Authority (SFDA).</w:t>
      </w:r>
      <w:r>
        <w:br/>
      </w:r>
      <w:r>
        <w:t xml:space="preserve">2. This invoice is valid for payment within the Kingdom of Saudi Arabia. All services were rendered at the client's facility located in Riyadh, Saudi Arabia.</w:t>
      </w:r>
      <w:r>
        <w:br/>
      </w:r>
      <w:r>
        <w:t xml:space="preserve">3. Any disputes regarding this invoice must be raised within fourteen (14) days of receipt. After this period, the invoice will be considered accepted and approved.</w:t>
      </w:r>
      <w:r>
        <w:br/>
      </w:r>
      <w:r>
        <w:t xml:space="preserve">4. All equipment repairs and maintenance services are covered by a ninety-day warranty from the date of service completion, unless otherwise specified.</w:t>
      </w:r>
      <w:r>
        <w:br/>
      </w:r>
      <w:r>
        <w:t xml:space="preserve">5. This invoice complies with the e-invoicing requirements mandated by the Zakat, Tax and Customs Authority (ZATCA) in Saudi Arabia.</w:t>
      </w:r>
    </w:p>
    <w:bookmarkEnd w:id="23"/>
    <w:bookmarkStart w:id="24" w:name="service-guarantee"/>
    <w:p>
      <w:pPr>
        <w:pStyle w:val="Heading4"/>
      </w:pPr>
      <w:r>
        <w:t xml:space="preserve">Service Guarantee:</w:t>
      </w:r>
    </w:p>
    <w:p>
      <w:pPr>
        <w:pStyle w:val="FirstParagraph"/>
      </w:pPr>
      <w:r>
        <w:t xml:space="preserve">Advanced Biomedical Solutions KSA guarantees that all Biomedical Engineering services provided meet the highest international standards and are fully compliant with Saudi Arabian healthcare regulations. Our team of certified Biomedical Engineers is committed to ensuring the safety, reliability, and optimal performance of all medical equipment within your facility in Riyadh, Saudi Arabia.</w:t>
      </w:r>
    </w:p>
    <w:bookmarkEnd w:id="24"/>
    <w:p>
      <w:pPr>
        <w:pStyle w:val="BodyText"/>
      </w:pPr>
      <w:r>
        <w:t xml:space="preserve">Advanced Biomedical Solutions KSA | Professional Biomedical Engineering Services in Saudi Arabia Riyadh</w:t>
      </w:r>
      <w:r>
        <w:br/>
      </w:r>
      <w:r>
        <w:t xml:space="preserve">This is a computer-generated invoice and does not require a physical signature.</w:t>
      </w:r>
      <w:r>
        <w:br/>
      </w:r>
      <w:r>
        <w:t xml:space="preserve">For verification purposes, please contact our billing department at billing@advancedbiomedicalksa.com or +966 11 234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2026-10-10T01:16:06Z</dcterms:created>
  <dcterms:modified xsi:type="dcterms:W3CDTF">2026-10-10T01:16:06Z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