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Algeria</w:t>
      </w:r>
      <w:r>
        <w:t xml:space="preserve"> </w:t>
      </w:r>
      <w:r>
        <w:t xml:space="preserve">Algiers</w:t>
      </w:r>
    </w:p>
    <w:bookmarkStart w:id="20" w:name="strategic-vision-consulting-sarl"/>
    <w:p>
      <w:pPr>
        <w:pStyle w:val="Heading1"/>
      </w:pPr>
      <w:r>
        <w:t xml:space="preserve">Strategic Vision Consulting SARL</w:t>
      </w:r>
    </w:p>
    <w:p>
      <w:pPr>
        <w:pStyle w:val="FirstParagraph"/>
      </w:pPr>
      <w:r>
        <w:t xml:space="preserve">Business Consultant Services</w:t>
      </w:r>
    </w:p>
    <w:p>
      <w:pPr>
        <w:pStyle w:val="BodyText"/>
      </w:pPr>
      <w:r>
        <w:t xml:space="preserve">12, Boulevard Zighout Youcef, Hydra</w:t>
      </w:r>
    </w:p>
    <w:p>
      <w:pPr>
        <w:pStyle w:val="BodyText"/>
      </w:pPr>
      <w:r>
        <w:t xml:space="preserve">Algiers 16000, Algeria</w:t>
      </w:r>
    </w:p>
    <w:p>
      <w:pPr>
        <w:pStyle w:val="BodyText"/>
      </w:pPr>
      <w:r>
        <w:t xml:space="preserve">RC: 16/00-1234567B23 | NIF: 002316001234567</w:t>
      </w:r>
    </w:p>
    <w:p>
      <w:pPr>
        <w:pStyle w:val="BodyText"/>
      </w:pPr>
      <w:r>
        <w:t xml:space="preserve">Tel: +213 (0) 23 45 67 89 | Email: contact@strategicvision.dz</w:t>
      </w:r>
    </w:p>
    <w:bookmarkEnd w:id="20"/>
    <w:bookmarkStart w:id="21" w:name="invoice"/>
    <w:p>
      <w:pPr>
        <w:pStyle w:val="Heading2"/>
      </w:pPr>
      <w:r>
        <w:t xml:space="preserve">INVOICE</w:t>
      </w:r>
    </w:p>
    <w:p>
      <w:pPr>
        <w:pStyle w:val="FirstParagraph"/>
      </w:pPr>
      <w:r>
        <w:t xml:space="preserve">Invoice No: SVC-2024-0847</w:t>
      </w:r>
    </w:p>
    <w:p>
      <w:pPr>
        <w:pStyle w:val="BodyText"/>
      </w:pPr>
      <w:r>
        <w:t xml:space="preserve">Date: 15 June 2025</w:t>
      </w:r>
    </w:p>
    <w:p>
      <w:pPr>
        <w:pStyle w:val="BodyText"/>
      </w:pPr>
      <w:r>
        <w:t xml:space="preserve">Due Date: 15 July 2025</w:t>
      </w:r>
    </w:p>
    <w:p>
      <w:pPr>
        <w:pStyle w:val="BodyText"/>
      </w:pPr>
      <w:r>
        <w:t xml:space="preserve">PENDING PAYMENT</w:t>
      </w:r>
    </w:p>
    <w:bookmarkEnd w:id="21"/>
    <w:bookmarkStart w:id="22" w:name="bill-to-client"/>
    <w:p>
      <w:pPr>
        <w:pStyle w:val="Heading3"/>
      </w:pPr>
      <w:r>
        <w:t xml:space="preserve">Bill To (Client)</w:t>
      </w:r>
    </w:p>
    <w:p>
      <w:pPr>
        <w:pStyle w:val="FirstParagraph"/>
      </w:pPr>
      <w:r>
        <w:t xml:space="preserve">Company:</w:t>
      </w:r>
      <w:r>
        <w:t xml:space="preserve"> </w:t>
      </w:r>
      <w:r>
        <w:t xml:space="preserve">Atlas Industries EURL</w:t>
      </w:r>
    </w:p>
    <w:p>
      <w:pPr>
        <w:pStyle w:val="BodyText"/>
      </w:pPr>
      <w:r>
        <w:t xml:space="preserve">Address:</w:t>
      </w:r>
      <w:r>
        <w:t xml:space="preserve"> </w:t>
      </w:r>
      <w:r>
        <w:t xml:space="preserve">45, Rue Didouche Mourad, Bab El Oued</w:t>
      </w:r>
    </w:p>
    <w:p>
      <w:pPr>
        <w:pStyle w:val="BodyText"/>
      </w:pPr>
      <w:r>
        <w:t xml:space="preserve">City:</w:t>
      </w:r>
      <w:r>
        <w:t xml:space="preserve"> </w:t>
      </w:r>
      <w:r>
        <w:t xml:space="preserve">Algiers 13000, Algeria</w:t>
      </w:r>
    </w:p>
    <w:p>
      <w:pPr>
        <w:pStyle w:val="BodyText"/>
      </w:pPr>
      <w:r>
        <w:t xml:space="preserve">RC:</w:t>
      </w:r>
      <w:r>
        <w:t xml:space="preserve"> </w:t>
      </w:r>
      <w:r>
        <w:t xml:space="preserve">13/00-7654321B22</w:t>
      </w:r>
    </w:p>
    <w:p>
      <w:pPr>
        <w:pStyle w:val="BodyText"/>
      </w:pPr>
      <w:r>
        <w:t xml:space="preserve">NIF:</w:t>
      </w:r>
      <w:r>
        <w:t xml:space="preserve"> </w:t>
      </w:r>
      <w:r>
        <w:t xml:space="preserve">002213007654321</w:t>
      </w:r>
    </w:p>
    <w:p>
      <w:pPr>
        <w:pStyle w:val="BodyText"/>
      </w:pPr>
      <w:r>
        <w:t xml:space="preserve">Contact:</w:t>
      </w:r>
      <w:r>
        <w:t xml:space="preserve"> </w:t>
      </w:r>
      <w:r>
        <w:t xml:space="preserve">Mr. Karim Benali, General Manager</w:t>
      </w:r>
    </w:p>
    <w:p>
      <w:pPr>
        <w:pStyle w:val="BodyText"/>
      </w:pPr>
      <w:r>
        <w:t xml:space="preserve">Email:</w:t>
      </w:r>
      <w:r>
        <w:t xml:space="preserve"> </w:t>
      </w:r>
      <w:r>
        <w:t xml:space="preserve">k.benali@atlasindustries.dz</w:t>
      </w:r>
    </w:p>
    <w:bookmarkEnd w:id="22"/>
    <w:bookmarkStart w:id="23" w:name="invoice-information"/>
    <w:p>
      <w:pPr>
        <w:pStyle w:val="Heading3"/>
      </w:pPr>
      <w:r>
        <w:t xml:space="preserve">Invoice Information</w:t>
      </w:r>
    </w:p>
    <w:p>
      <w:pPr>
        <w:pStyle w:val="FirstParagraph"/>
      </w:pPr>
      <w:r>
        <w:t xml:space="preserve">Service Period:</w:t>
      </w:r>
      <w:r>
        <w:t xml:space="preserve"> </w:t>
      </w:r>
      <w:r>
        <w:t xml:space="preserve">01 May 2025 – 31 May 2025</w:t>
      </w:r>
    </w:p>
    <w:p>
      <w:pPr>
        <w:pStyle w:val="BodyText"/>
      </w:pPr>
      <w:r>
        <w:t xml:space="preserve">Currency:</w:t>
      </w:r>
      <w:r>
        <w:t xml:space="preserve"> </w:t>
      </w:r>
      <w:r>
        <w:t xml:space="preserve">Algerian Dinar (DZD)</w:t>
      </w:r>
    </w:p>
    <w:p>
      <w:pPr>
        <w:pStyle w:val="BodyText"/>
      </w:pPr>
      <w:r>
        <w:t xml:space="preserve">Payment Method:</w:t>
      </w:r>
      <w:r>
        <w:t xml:space="preserve"> </w:t>
      </w:r>
      <w:r>
        <w:t xml:space="preserve">Bank Transfer (Virement Bancaire)</w:t>
      </w:r>
    </w:p>
    <w:p>
      <w:pPr>
        <w:pStyle w:val="BodyText"/>
      </w:pPr>
      <w:r>
        <w:t xml:space="preserve">Bank:</w:t>
      </w:r>
      <w:r>
        <w:t xml:space="preserve"> </w:t>
      </w:r>
      <w:r>
        <w:t xml:space="preserve">BNA – Algiers Central Branch</w:t>
      </w:r>
    </w:p>
    <w:p>
      <w:pPr>
        <w:pStyle w:val="BodyText"/>
      </w:pPr>
      <w:r>
        <w:t xml:space="preserve">RIB:</w:t>
      </w:r>
      <w:r>
        <w:t xml:space="preserve"> </w:t>
      </w:r>
      <w:r>
        <w:t xml:space="preserve">007 00123 4567890123 45</w:t>
      </w:r>
    </w:p>
    <w:p>
      <w:pPr>
        <w:pStyle w:val="BodyText"/>
      </w:pPr>
      <w:r>
        <w:t xml:space="preserve">Reference:</w:t>
      </w:r>
      <w:r>
        <w:t xml:space="preserve"> </w:t>
      </w:r>
      <w:r>
        <w:t xml:space="preserve">Contract No. CV-2025-031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Business Consultant Services</w:t>
            </w:r>
          </w:p>
        </w:tc>
        <w:tc>
          <w:tcPr/>
          <w:p>
            <w:pPr>
              <w:pStyle w:val="Compact"/>
              <w:jc w:val="left"/>
            </w:pPr>
            <w:r>
              <w:t xml:space="preserve">Deliverable</w:t>
            </w:r>
          </w:p>
        </w:tc>
        <w:tc>
          <w:tcPr/>
          <w:p>
            <w:pPr>
              <w:pStyle w:val="Compact"/>
              <w:jc w:val="left"/>
            </w:pPr>
            <w:r>
              <w:t xml:space="preserve">Hours</w:t>
            </w:r>
          </w:p>
        </w:tc>
        <w:tc>
          <w:tcPr/>
          <w:p>
            <w:pPr>
              <w:pStyle w:val="Compact"/>
              <w:jc w:val="left"/>
            </w:pPr>
            <w:r>
              <w:t xml:space="preserve">Rate (DZD)</w:t>
            </w:r>
          </w:p>
        </w:tc>
        <w:tc>
          <w:tcPr/>
          <w:p>
            <w:pPr>
              <w:pStyle w:val="Compact"/>
              <w:jc w:val="left"/>
            </w:pPr>
            <w:r>
              <w:t xml:space="preserve">Amount (DZD)</w:t>
            </w:r>
          </w:p>
        </w:tc>
      </w:tr>
      <w:tr>
        <w:tc>
          <w:tcPr/>
          <w:p>
            <w:pPr>
              <w:pStyle w:val="Compact"/>
              <w:jc w:val="left"/>
            </w:pPr>
            <w:r>
              <w:t xml:space="preserve">1</w:t>
            </w:r>
          </w:p>
        </w:tc>
        <w:tc>
          <w:tcPr/>
          <w:p>
            <w:pPr>
              <w:pStyle w:val="Compact"/>
              <w:jc w:val="left"/>
            </w:pPr>
            <w:r>
              <w:t xml:space="preserve">Strategic Business Planning &amp; Organizational Restructuring Consultation for Atlas Industries EURL, including SWOT analysis, competitive positioning review, and long-term growth roadmap development tailored to the Algerian market conditions.</w:t>
            </w:r>
          </w:p>
        </w:tc>
        <w:tc>
          <w:tcPr/>
          <w:p>
            <w:pPr>
              <w:pStyle w:val="Compact"/>
              <w:jc w:val="left"/>
            </w:pPr>
            <w:r>
              <w:t xml:space="preserve">Strategic Report</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w:t>
            </w:r>
          </w:p>
        </w:tc>
        <w:tc>
          <w:tcPr/>
          <w:p>
            <w:pPr>
              <w:pStyle w:val="Compact"/>
              <w:jc w:val="left"/>
            </w:pPr>
            <w:r>
              <w:t xml:space="preserve">Operational Efficiency Audit and Process Optimization. Comprehensive review of supply chain logistics, inventory management systems, and internal workflow procedures to identify cost-saving opportunities and improve operational throughput.</w:t>
            </w:r>
          </w:p>
        </w:tc>
        <w:tc>
          <w:tcPr/>
          <w:p>
            <w:pPr>
              <w:pStyle w:val="Compact"/>
              <w:jc w:val="left"/>
            </w:pPr>
            <w:r>
              <w:t xml:space="preserve">Audit Report &amp; Action Plan</w:t>
            </w:r>
          </w:p>
        </w:tc>
        <w:tc>
          <w:tcPr/>
          <w:p>
            <w:pPr>
              <w:pStyle w:val="Compact"/>
              <w:jc w:val="left"/>
            </w:pPr>
            <w:r>
              <w:t xml:space="preserve">32</w:t>
            </w:r>
          </w:p>
        </w:tc>
        <w:tc>
          <w:tcPr/>
          <w:p>
            <w:pPr>
              <w:pStyle w:val="Compact"/>
              <w:jc w:val="left"/>
            </w:pPr>
            <w:r>
              <w:t xml:space="preserve">8,500</w:t>
            </w:r>
          </w:p>
        </w:tc>
        <w:tc>
          <w:tcPr/>
          <w:p>
            <w:pPr>
              <w:pStyle w:val="Compact"/>
              <w:jc w:val="left"/>
            </w:pPr>
            <w:r>
              <w:t xml:space="preserve">272,000</w:t>
            </w:r>
          </w:p>
        </w:tc>
      </w:tr>
      <w:tr>
        <w:tc>
          <w:tcPr/>
          <w:p>
            <w:pPr>
              <w:pStyle w:val="Compact"/>
              <w:jc w:val="left"/>
            </w:pPr>
            <w:r>
              <w:t xml:space="preserve">3</w:t>
            </w:r>
          </w:p>
        </w:tc>
        <w:tc>
          <w:tcPr/>
          <w:p>
            <w:pPr>
              <w:pStyle w:val="Compact"/>
              <w:jc w:val="left"/>
            </w:pPr>
            <w:r>
              <w:t xml:space="preserve">Financial Modeling and Budget Forecasting. Development of a three-year financial projection model incorporating Algerian tax regulations, inflation adjustments, and currency fluctuation scenarios for board-level decision making.</w:t>
            </w:r>
          </w:p>
        </w:tc>
        <w:tc>
          <w:tcPr/>
          <w:p>
            <w:pPr>
              <w:pStyle w:val="Compact"/>
              <w:jc w:val="left"/>
            </w:pPr>
            <w:r>
              <w:t xml:space="preserve">Financial Model (Excel)</w:t>
            </w:r>
          </w:p>
        </w:tc>
        <w:tc>
          <w:tcPr/>
          <w:p>
            <w:pPr>
              <w:pStyle w:val="Compact"/>
              <w:jc w:val="left"/>
            </w:pPr>
            <w:r>
              <w:t xml:space="preserve">24</w:t>
            </w:r>
          </w:p>
        </w:tc>
        <w:tc>
          <w:tcPr/>
          <w:p>
            <w:pPr>
              <w:pStyle w:val="Compact"/>
              <w:jc w:val="left"/>
            </w:pPr>
            <w:r>
              <w:t xml:space="preserve">9,000</w:t>
            </w:r>
          </w:p>
        </w:tc>
        <w:tc>
          <w:tcPr/>
          <w:p>
            <w:pPr>
              <w:pStyle w:val="Compact"/>
              <w:jc w:val="left"/>
            </w:pPr>
            <w:r>
              <w:t xml:space="preserve">216,000</w:t>
            </w:r>
          </w:p>
        </w:tc>
      </w:tr>
      <w:tr>
        <w:tc>
          <w:tcPr/>
          <w:p>
            <w:pPr>
              <w:pStyle w:val="Compact"/>
              <w:jc w:val="left"/>
            </w:pPr>
            <w:r>
              <w:t xml:space="preserve">4</w:t>
            </w:r>
          </w:p>
        </w:tc>
        <w:tc>
          <w:tcPr/>
          <w:p>
            <w:pPr>
              <w:pStyle w:val="Compact"/>
              <w:jc w:val="left"/>
            </w:pPr>
            <w:r>
              <w:t xml:space="preserve">Human Resource Strategy Development. Design of a performance management framework, compensation structure review, and talent acquisition strategy aligned with Algerian labor law (Code du Travail) and industry best practices.</w:t>
            </w:r>
          </w:p>
        </w:tc>
        <w:tc>
          <w:tcPr/>
          <w:p>
            <w:pPr>
              <w:pStyle w:val="Compact"/>
              <w:jc w:val="left"/>
            </w:pPr>
            <w:r>
              <w:t xml:space="preserve">HR Strategy Document</w:t>
            </w:r>
          </w:p>
        </w:tc>
        <w:tc>
          <w:tcPr/>
          <w:p>
            <w:pPr>
              <w:pStyle w:val="Compact"/>
              <w:jc w:val="left"/>
            </w:pPr>
            <w:r>
              <w:t xml:space="preserve">20</w:t>
            </w:r>
          </w:p>
        </w:tc>
        <w:tc>
          <w:tcPr/>
          <w:p>
            <w:pPr>
              <w:pStyle w:val="Compact"/>
              <w:jc w:val="left"/>
            </w:pPr>
            <w:r>
              <w:t xml:space="preserve">8,500</w:t>
            </w:r>
          </w:p>
        </w:tc>
        <w:tc>
          <w:tcPr/>
          <w:p>
            <w:pPr>
              <w:pStyle w:val="Compact"/>
              <w:jc w:val="left"/>
            </w:pPr>
            <w:r>
              <w:t xml:space="preserve">170,000</w:t>
            </w:r>
          </w:p>
        </w:tc>
      </w:tr>
      <w:tr>
        <w:tc>
          <w:tcPr/>
          <w:p>
            <w:pPr>
              <w:pStyle w:val="Compact"/>
              <w:jc w:val="left"/>
            </w:pPr>
            <w:r>
              <w:t xml:space="preserve">5</w:t>
            </w:r>
          </w:p>
        </w:tc>
        <w:tc>
          <w:tcPr/>
          <w:p>
            <w:pPr>
              <w:pStyle w:val="Compact"/>
              <w:jc w:val="left"/>
            </w:pPr>
            <w:r>
              <w:t xml:space="preserve">Market Entry Analysis for North African Expansion. Feasibility study for potential expansion into neighboring markets including Tunisia, Morocco, and Libya, with regulatory compliance assessment and local partnership identification.</w:t>
            </w:r>
          </w:p>
        </w:tc>
        <w:tc>
          <w:tcPr/>
          <w:p>
            <w:pPr>
              <w:pStyle w:val="Compact"/>
              <w:jc w:val="left"/>
            </w:pPr>
            <w:r>
              <w:t xml:space="preserve">Feasibility Study</w:t>
            </w:r>
          </w:p>
        </w:tc>
        <w:tc>
          <w:tcPr/>
          <w:p>
            <w:pPr>
              <w:pStyle w:val="Compact"/>
              <w:jc w:val="left"/>
            </w:pPr>
            <w:r>
              <w:t xml:space="preserve">28</w:t>
            </w:r>
          </w:p>
        </w:tc>
        <w:tc>
          <w:tcPr/>
          <w:p>
            <w:pPr>
              <w:pStyle w:val="Compact"/>
              <w:jc w:val="left"/>
            </w:pPr>
            <w:r>
              <w:t xml:space="preserve">9,500</w:t>
            </w:r>
          </w:p>
        </w:tc>
        <w:tc>
          <w:tcPr/>
          <w:p>
            <w:pPr>
              <w:pStyle w:val="Compact"/>
              <w:jc w:val="left"/>
            </w:pPr>
            <w:r>
              <w:t xml:space="preserve">266,000</w:t>
            </w:r>
          </w:p>
        </w:tc>
      </w:tr>
      <w:tr>
        <w:tc>
          <w:tcPr/>
          <w:p>
            <w:pPr>
              <w:pStyle w:val="Compact"/>
              <w:jc w:val="left"/>
            </w:pPr>
            <w:r>
              <w:t xml:space="preserve">6</w:t>
            </w:r>
          </w:p>
        </w:tc>
        <w:tc>
          <w:tcPr/>
          <w:p>
            <w:pPr>
              <w:pStyle w:val="Compact"/>
              <w:jc w:val="left"/>
            </w:pPr>
            <w:r>
              <w:t xml:space="preserve">Executive Training Workshop (2 Days). On-site leadership development session for senior management team covering strategic thinking, change management, and digital transformation readiness. Conducted at client premises in Algiers.</w:t>
            </w:r>
          </w:p>
        </w:tc>
        <w:tc>
          <w:tcPr/>
          <w:p>
            <w:pPr>
              <w:pStyle w:val="Compact"/>
              <w:jc w:val="left"/>
            </w:pPr>
            <w:r>
              <w:t xml:space="preserve">Training Materials &amp; Certificates</w:t>
            </w:r>
          </w:p>
        </w:tc>
        <w:tc>
          <w:tcPr/>
          <w:p>
            <w:pPr>
              <w:pStyle w:val="Compact"/>
              <w:jc w:val="left"/>
            </w:pPr>
            <w:r>
              <w:t xml:space="preserve">16</w:t>
            </w:r>
          </w:p>
        </w:tc>
        <w:tc>
          <w:tcPr/>
          <w:p>
            <w:pPr>
              <w:pStyle w:val="Compact"/>
              <w:jc w:val="left"/>
            </w:pPr>
            <w:r>
              <w:t xml:space="preserve">12,000</w:t>
            </w:r>
          </w:p>
        </w:tc>
        <w:tc>
          <w:tcPr/>
          <w:p>
            <w:pPr>
              <w:pStyle w:val="Compact"/>
              <w:jc w:val="left"/>
            </w:pPr>
            <w:r>
              <w:t xml:space="preserve">192,000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1,456,000.00 DZD</w:t>
            </w:r>
          </w:p>
        </w:tc>
      </w:tr>
      <w:tr>
        <w:tc>
          <w:tcPr/>
          <w:p>
            <w:pPr>
              <w:pStyle w:val="Compact"/>
              <w:jc w:val="left"/>
            </w:pPr>
            <w:r>
              <w:t xml:space="preserve">VAT (TVA) – 19%</w:t>
            </w:r>
          </w:p>
        </w:tc>
        <w:tc>
          <w:tcPr/>
          <w:p>
            <w:pPr>
              <w:pStyle w:val="Compact"/>
              <w:jc w:val="right"/>
            </w:pPr>
            <w:r>
              <w:t xml:space="preserve">276,640.00 DZD</w:t>
            </w:r>
          </w:p>
        </w:tc>
      </w:tr>
      <w:tr>
        <w:tc>
          <w:tcPr/>
          <w:p>
            <w:pPr>
              <w:pStyle w:val="Compact"/>
              <w:jc w:val="left"/>
            </w:pPr>
            <w:r>
              <w:t xml:space="preserve">Professional Tax (Taxe Professionnelle) – 0.75%</w:t>
            </w:r>
          </w:p>
        </w:tc>
        <w:tc>
          <w:tcPr/>
          <w:p>
            <w:pPr>
              <w:pStyle w:val="Compact"/>
              <w:jc w:val="right"/>
            </w:pPr>
            <w:r>
              <w:t xml:space="preserve">10,920.00 DZD</w:t>
            </w:r>
          </w:p>
        </w:tc>
      </w:tr>
      <w:tr>
        <w:tc>
          <w:tcPr/>
          <w:p>
            <w:pPr>
              <w:pStyle w:val="Compact"/>
              <w:jc w:val="left"/>
            </w:pPr>
            <w:r>
              <w:t xml:space="preserve">Discount (Early Payment – 5%)</w:t>
            </w:r>
          </w:p>
        </w:tc>
        <w:tc>
          <w:tcPr/>
          <w:p>
            <w:pPr>
              <w:pStyle w:val="Compact"/>
              <w:jc w:val="right"/>
            </w:pPr>
            <w:r>
              <w:t xml:space="preserve">-72,800.00 DZD</w:t>
            </w:r>
          </w:p>
        </w:tc>
      </w:tr>
      <w:tr>
        <w:tc>
          <w:tcPr/>
          <w:p>
            <w:pPr>
              <w:pStyle w:val="Compact"/>
              <w:jc w:val="left"/>
            </w:pPr>
            <w:r>
              <w:t xml:space="preserve">GRAND TOTAL</w:t>
            </w:r>
          </w:p>
        </w:tc>
        <w:tc>
          <w:tcPr/>
          <w:p>
            <w:pPr>
              <w:pStyle w:val="Compact"/>
              <w:jc w:val="right"/>
            </w:pPr>
            <w:r>
              <w:t xml:space="preserve">1,670,760.00 DZD</w:t>
            </w:r>
          </w:p>
        </w:tc>
      </w:tr>
    </w:tbl>
    <w:bookmarkStart w:id="24" w:name="payment-terms-important-notes"/>
    <w:p>
      <w:pPr>
        <w:pStyle w:val="Heading3"/>
      </w:pPr>
      <w:r>
        <w:t xml:space="preserve">Payment Terms &amp; Important Notes</w:t>
      </w:r>
    </w:p>
    <w:p>
      <w:pPr>
        <w:numPr>
          <w:ilvl w:val="0"/>
          <w:numId w:val="1001"/>
        </w:numPr>
        <w:pStyle w:val="Compact"/>
      </w:pPr>
      <w:r>
        <w:t xml:space="preserve">This Invoice is issued in accordance with the professional services agreement (Contract No. CV-2025-031) signed between Strategic Vision Consulting SARL and Atlas Industries EURL, both registered in Algiers, Algeria.</w:t>
      </w:r>
    </w:p>
    <w:p>
      <w:pPr>
        <w:numPr>
          <w:ilvl w:val="0"/>
          <w:numId w:val="1001"/>
        </w:numPr>
        <w:pStyle w:val="Compact"/>
      </w:pPr>
      <w:r>
        <w:t xml:space="preserve">Payment is due within thirty (30) calendar days from the date of this Invoice. Late payments shall incur a penalty of 1.5% per month as stipulated under Algerian commercial law.</w:t>
      </w:r>
    </w:p>
    <w:p>
      <w:pPr>
        <w:numPr>
          <w:ilvl w:val="0"/>
          <w:numId w:val="1001"/>
        </w:numPr>
        <w:pStyle w:val="Compact"/>
      </w:pPr>
      <w:r>
        <w:t xml:space="preserve">All amounts are denominated in Algerian Dinar (DZD) and are subject to the applicable Value Added Tax (TVA) at the standard rate of 19% as per the Algerian Tax Code (Code des Impôts Directs et Taxes sur le Chiffre d'Affaires).</w:t>
      </w:r>
    </w:p>
    <w:p>
      <w:pPr>
        <w:numPr>
          <w:ilvl w:val="0"/>
          <w:numId w:val="1001"/>
        </w:numPr>
        <w:pStyle w:val="Compact"/>
      </w:pPr>
      <w:r>
        <w:t xml:space="preserve">The Business Consultant services described herein were delivered in full compliance with the Algerian professional regulations and the ethical standards of the Algerian Chamber of Commerce and Industry (CCI Algiers).</w:t>
      </w:r>
    </w:p>
    <w:p>
      <w:pPr>
        <w:numPr>
          <w:ilvl w:val="0"/>
          <w:numId w:val="1001"/>
        </w:numPr>
        <w:pStyle w:val="Compact"/>
      </w:pPr>
      <w:r>
        <w:t xml:space="preserve">Any dispute arising from this Invoice or the associated services shall be resolved through the competent commercial courts of Algiers, Algeria, in accordance with the Algerian Code of Commerce.</w:t>
      </w:r>
    </w:p>
    <w:p>
      <w:pPr>
        <w:numPr>
          <w:ilvl w:val="0"/>
          <w:numId w:val="1001"/>
        </w:numPr>
        <w:pStyle w:val="Compact"/>
      </w:pPr>
      <w:r>
        <w:t xml:space="preserve">Please reference Invoice No. SVC-2024-0847 in all correspondence and payment remittances to ensure proper accounting reconciliation.</w:t>
      </w:r>
    </w:p>
    <w:p>
      <w:pPr>
        <w:numPr>
          <w:ilvl w:val="0"/>
          <w:numId w:val="1001"/>
        </w:numPr>
        <w:pStyle w:val="Compact"/>
      </w:pPr>
      <w:r>
        <w:t xml:space="preserve">This Invoice constitutes a valid fiscal document under Algerian law and must be retained by the client for a minimum period of ten (10) years for tax audit purposes.</w:t>
      </w:r>
    </w:p>
    <w:bookmarkEnd w:id="24"/>
    <w:p>
      <w:pPr>
        <w:pStyle w:val="FirstParagraph"/>
      </w:pPr>
      <w:r>
        <w:rPr>
          <w:bCs/>
          <w:b/>
        </w:rPr>
        <w:t xml:space="preserve">Legal Notice:</w:t>
      </w:r>
      <w:r>
        <w:t xml:space="preserve"> </w:t>
      </w:r>
      <w:r>
        <w:t xml:space="preserve">This Invoice has been prepared and issued by Strategic Vision Consulting SARL, a limited liability company registered in the Commercial Registry of Algiers, Algeria. The Business Consultant services rendered are governed by the Algerian Civil Code, the Algerian Commercial Code, and applicable professional regulations. The consultant holds a valid professional license (Carte Professionnelle) issued by the relevant Algerian authorities. All intellectual property rights in the deliverables remain with the consultant unless otherwise specified in the master service agreement. This document is valid only when bearing the official company stamp and authorized signature.</w:t>
      </w:r>
    </w:p>
    <w:p>
      <w:pPr>
        <w:pStyle w:val="BodyText"/>
      </w:pPr>
      <w:r>
        <w:rPr>
          <w:bCs/>
          <w:b/>
        </w:rPr>
        <w:t xml:space="preserve">Prepared &amp; Issued By:</w:t>
      </w:r>
      <w:r>
        <w:br/>
      </w:r>
      <w:r>
        <w:t xml:space="preserve">Mr. Yacine Hamidi</w:t>
      </w:r>
      <w:r>
        <w:br/>
      </w:r>
      <w:r>
        <w:t xml:space="preserve">Lead Business Consultant</w:t>
      </w:r>
      <w:r>
        <w:br/>
      </w:r>
      <w:r>
        <w:t xml:space="preserve">Strategic Vision Consulting SARL</w:t>
      </w:r>
      <w:r>
        <w:br/>
      </w:r>
      <w:r>
        <w:t xml:space="preserve">Stamp &amp; Signature</w:t>
      </w:r>
    </w:p>
    <w:p>
      <w:pPr>
        <w:pStyle w:val="BodyText"/>
      </w:pPr>
      <w:r>
        <w:rPr>
          <w:bCs/>
          <w:b/>
        </w:rPr>
        <w:t xml:space="preserve">Received &amp; Approved By:</w:t>
      </w:r>
      <w:r>
        <w:br/>
      </w:r>
      <w:r>
        <w:t xml:space="preserve">Mr. Karim Benali</w:t>
      </w:r>
      <w:r>
        <w:br/>
      </w:r>
      <w:r>
        <w:t xml:space="preserve">General Manager</w:t>
      </w:r>
      <w:r>
        <w:br/>
      </w:r>
      <w:r>
        <w:t xml:space="preserve">Atlas Industries EURL</w:t>
      </w:r>
      <w:r>
        <w:br/>
      </w:r>
      <w:r>
        <w:t xml:space="preserve">Stamp &amp; Signature</w:t>
      </w:r>
    </w:p>
    <w:p>
      <w:pPr>
        <w:pStyle w:val="BodyText"/>
      </w:pPr>
      <w:r>
        <w:t xml:space="preserve">Strategic Vision Consulting SARL | Business Consultant | 12, Boulevard Zighout Youcef, Hydra, Algiers 16000, Algeria</w:t>
      </w:r>
    </w:p>
    <w:p>
      <w:pPr>
        <w:pStyle w:val="BodyText"/>
      </w:pPr>
      <w:r>
        <w:t xml:space="preserve">RC: 16/00-1234567B23 | NIF: 002316001234567 | NIS: 00231600123456789</w:t>
      </w:r>
    </w:p>
    <w:p>
      <w:pPr>
        <w:pStyle w:val="BodyText"/>
      </w:pPr>
      <w:r>
        <w:t xml:space="preserve">This Invoice was generated electronically and is valid without physical stamp per Algerian digital transaction regulations (Law 22-03).</w:t>
      </w:r>
    </w:p>
    <w:p>
      <w:pPr>
        <w:pStyle w:val="BodyText"/>
      </w:pPr>
      <w:r>
        <w:t xml:space="preserve">© 2025 Strategic Vision Consulting SARL – All Rights Reserved –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Business Consultant - Algeria Algiers</dc:title>
  <dc:creator/>
  <dc:language>en</dc:language>
  <cp:keywords/>
  <dcterms:created xsi:type="dcterms:W3CDTF">2026-10-10T02:42:44Z</dcterms:created>
  <dcterms:modified xsi:type="dcterms:W3CDTF">2026-10-10T02:42:44Z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