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Business Consultant Professional Services</w:t>
      </w:r>
    </w:p>
    <w:p>
      <w:pPr>
        <w:pStyle w:val="BodyText"/>
      </w:pPr>
      <w:r>
        <w:t xml:space="preserve">AUSTRALIA BRISBANE</w:t>
      </w:r>
    </w:p>
    <w:bookmarkStart w:id="20" w:name="invoice-number-inv-2025-0472"/>
    <w:p>
      <w:pPr>
        <w:pStyle w:val="Heading3"/>
      </w:pPr>
      <w:r>
        <w:t xml:space="preserve">Invoice Number: INV-2025-0472</w:t>
      </w:r>
    </w:p>
    <w:p>
      <w:pPr>
        <w:pStyle w:val="FirstParagraph"/>
      </w:pPr>
      <w:r>
        <w:t xml:space="preserve">Issue Date: 15 June 2025</w:t>
      </w:r>
    </w:p>
    <w:p>
      <w:pPr>
        <w:pStyle w:val="BodyText"/>
      </w:pPr>
      <w:r>
        <w:t xml:space="preserve">Due Date: 15 July 2025</w:t>
      </w:r>
    </w:p>
    <w:p>
      <w:pPr>
        <w:pStyle w:val="BodyText"/>
      </w:pPr>
      <w:r>
        <w:t xml:space="preserve">Payment Terms: Net 30 Days</w:t>
      </w:r>
    </w:p>
    <w:bookmarkEnd w:id="20"/>
    <w:bookmarkStart w:id="21" w:name="business-consultant-service-provider"/>
    <w:p>
      <w:pPr>
        <w:pStyle w:val="Heading4"/>
      </w:pPr>
      <w:r>
        <w:t xml:space="preserve">Business Consultant (Service Provider)</w:t>
      </w:r>
    </w:p>
    <w:p>
      <w:pPr>
        <w:pStyle w:val="FirstParagraph"/>
      </w:pPr>
      <w:r>
        <w:rPr>
          <w:bCs/>
          <w:b/>
        </w:rPr>
        <w:t xml:space="preserve">Strategic Advisory Partners Pty Ltd</w:t>
      </w:r>
    </w:p>
    <w:p>
      <w:pPr>
        <w:pStyle w:val="BodyText"/>
      </w:pPr>
      <w:r>
        <w:t xml:space="preserve">ABN: 48 215 673 901</w:t>
      </w:r>
    </w:p>
    <w:p>
      <w:pPr>
        <w:pStyle w:val="BodyText"/>
      </w:pPr>
      <w:r>
        <w:t xml:space="preserve">Level 12, 400 George Street</w:t>
      </w:r>
    </w:p>
    <w:p>
      <w:pPr>
        <w:pStyle w:val="BodyText"/>
      </w:pPr>
      <w:r>
        <w:t xml:space="preserve">Brisbane, Queensland 4000</w:t>
      </w:r>
    </w:p>
    <w:p>
      <w:pPr>
        <w:pStyle w:val="BodyText"/>
      </w:pPr>
      <w:r>
        <w:t xml:space="preserve">Australia</w:t>
      </w:r>
    </w:p>
    <w:p>
      <w:pPr>
        <w:pStyle w:val="BodyText"/>
      </w:pPr>
      <w:r>
        <w:t xml:space="preserve">Email: billing@strategicadvisory.com.au</w:t>
      </w:r>
    </w:p>
    <w:p>
      <w:pPr>
        <w:pStyle w:val="BodyText"/>
      </w:pPr>
      <w:r>
        <w:t xml:space="preserve">Phone: +61 7 3210 4567</w:t>
      </w:r>
    </w:p>
    <w:bookmarkEnd w:id="21"/>
    <w:bookmarkStart w:id="22" w:name="client-bill-to"/>
    <w:p>
      <w:pPr>
        <w:pStyle w:val="Heading4"/>
      </w:pPr>
      <w:r>
        <w:t xml:space="preserve">Client (Bill To)</w:t>
      </w:r>
    </w:p>
    <w:p>
      <w:pPr>
        <w:pStyle w:val="FirstParagraph"/>
      </w:pPr>
      <w:r>
        <w:rPr>
          <w:bCs/>
          <w:b/>
        </w:rPr>
        <w:t xml:space="preserve">Meridian Logistics Group Pty Ltd</w:t>
      </w:r>
    </w:p>
    <w:p>
      <w:pPr>
        <w:pStyle w:val="BodyText"/>
      </w:pPr>
      <w:r>
        <w:t xml:space="preserve">ABN: 12 847 290 356</w:t>
      </w:r>
    </w:p>
    <w:p>
      <w:pPr>
        <w:pStyle w:val="BodyText"/>
      </w:pPr>
      <w:r>
        <w:t xml:space="preserve">Suite 5, 88 Creek Street</w:t>
      </w:r>
    </w:p>
    <w:p>
      <w:pPr>
        <w:pStyle w:val="BodyText"/>
      </w:pPr>
      <w:r>
        <w:t xml:space="preserve">Brisbane, Queensland 4000</w:t>
      </w:r>
    </w:p>
    <w:p>
      <w:pPr>
        <w:pStyle w:val="BodyText"/>
      </w:pPr>
      <w:r>
        <w:t xml:space="preserve">Australia</w:t>
      </w:r>
    </w:p>
    <w:p>
      <w:pPr>
        <w:pStyle w:val="BodyText"/>
      </w:pPr>
      <w:r>
        <w:t xml:space="preserve">Email: accounts@meridianlogistics.com.au</w:t>
      </w:r>
    </w:p>
    <w:p>
      <w:pPr>
        <w:pStyle w:val="BodyText"/>
      </w:pPr>
      <w:r>
        <w:t xml:space="preserve">Phone: +61 7 3100 8899</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Business Consultant 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Strategic Business Planning &amp; Market Analysis</w:t>
            </w:r>
            <w:r>
              <w:br/>
            </w:r>
            <w:r>
              <w:t xml:space="preserve">Comprehensive review of Meridian Logistics Group's operational framework, competitive positioning within the Brisbane and South-East Queensland freight sector, and development of a three-year strategic growth roadmap aligned with Australian market conditions.</w:t>
            </w:r>
          </w:p>
        </w:tc>
        <w:tc>
          <w:tcPr/>
          <w:p>
            <w:pPr>
              <w:pStyle w:val="Compact"/>
              <w:jc w:val="left"/>
            </w:pPr>
            <w:r>
              <w:t xml:space="preserve">03 Jun 2025 – 06 Jun 2025</w:t>
            </w:r>
          </w:p>
        </w:tc>
        <w:tc>
          <w:tcPr/>
          <w:p>
            <w:pPr>
              <w:pStyle w:val="Compact"/>
              <w:jc w:val="left"/>
            </w:pPr>
            <w:r>
              <w:t xml:space="preserve">40 hrs</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2</w:t>
            </w:r>
          </w:p>
        </w:tc>
        <w:tc>
          <w:tcPr/>
          <w:p>
            <w:pPr>
              <w:pStyle w:val="Compact"/>
              <w:jc w:val="left"/>
            </w:pPr>
            <w:r>
              <w:rPr>
                <w:bCs/>
                <w:b/>
              </w:rPr>
              <w:t xml:space="preserve">Operational Efficiency &amp; Process Optimisation</w:t>
            </w:r>
            <w:r>
              <w:br/>
            </w:r>
            <w:r>
              <w:t xml:space="preserve">On-site assessment of warehouse and distribution operations in Brisbane, identification of bottlenecks in the supply chain workflow, and implementation of lean management principles to reduce overhead costs by an estimated 18 percent over the next fiscal year.</w:t>
            </w:r>
          </w:p>
        </w:tc>
        <w:tc>
          <w:tcPr/>
          <w:p>
            <w:pPr>
              <w:pStyle w:val="Compact"/>
              <w:jc w:val="left"/>
            </w:pPr>
            <w:r>
              <w:t xml:space="preserve">09 Jun 2025 – 12 Jun 2025</w:t>
            </w:r>
          </w:p>
        </w:tc>
        <w:tc>
          <w:tcPr/>
          <w:p>
            <w:pPr>
              <w:pStyle w:val="Compact"/>
              <w:jc w:val="left"/>
            </w:pPr>
            <w:r>
              <w:t xml:space="preserve">32 hrs</w:t>
            </w:r>
          </w:p>
        </w:tc>
        <w:tc>
          <w:tcPr/>
          <w:p>
            <w:pPr>
              <w:pStyle w:val="Compact"/>
              <w:jc w:val="left"/>
            </w:pPr>
            <w:r>
              <w:t xml:space="preserve">$220.00</w:t>
            </w:r>
          </w:p>
        </w:tc>
        <w:tc>
          <w:tcPr/>
          <w:p>
            <w:pPr>
              <w:pStyle w:val="Compact"/>
              <w:jc w:val="left"/>
            </w:pPr>
            <w:r>
              <w:t xml:space="preserve">$7,040.00</w:t>
            </w:r>
          </w:p>
        </w:tc>
      </w:tr>
      <w:tr>
        <w:tc>
          <w:tcPr/>
          <w:p>
            <w:pPr>
              <w:pStyle w:val="Compact"/>
              <w:jc w:val="left"/>
            </w:pPr>
            <w:r>
              <w:t xml:space="preserve">3</w:t>
            </w:r>
          </w:p>
        </w:tc>
        <w:tc>
          <w:tcPr/>
          <w:p>
            <w:pPr>
              <w:pStyle w:val="Compact"/>
              <w:jc w:val="left"/>
            </w:pPr>
            <w:r>
              <w:rPr>
                <w:bCs/>
                <w:b/>
              </w:rPr>
              <w:t xml:space="preserve">Financial Modelling &amp; Revenue Forecasting</w:t>
            </w:r>
            <w:r>
              <w:br/>
            </w:r>
            <w:r>
              <w:t xml:space="preserve">Development of detailed financial projections, cash flow modelling, and revenue forecasting for the 2025–2028 period. Includes sensitivity analysis for Australian economic variables, GST implications, and Queensland state regulatory changes affecting the logistics industry.</w:t>
            </w:r>
          </w:p>
        </w:tc>
        <w:tc>
          <w:tcPr/>
          <w:p>
            <w:pPr>
              <w:pStyle w:val="Compact"/>
              <w:jc w:val="left"/>
            </w:pPr>
            <w:r>
              <w:t xml:space="preserve">13 Jun 2025 – 14 Jun 2025</w:t>
            </w:r>
          </w:p>
        </w:tc>
        <w:tc>
          <w:tcPr/>
          <w:p>
            <w:pPr>
              <w:pStyle w:val="Compact"/>
              <w:jc w:val="left"/>
            </w:pPr>
            <w:r>
              <w:t xml:space="preserve">16 hrs</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Executive Leadership &amp; Team Development Workshop</w:t>
            </w:r>
            <w:r>
              <w:br/>
            </w:r>
            <w:r>
              <w:t xml:space="preserve">Full-day facilitated workshop for the senior leadership team of Meridian Logistics Group, covering change management strategies, performance KPIs, and building a high-performance culture. Delivered at the client's Brisbane office with all materials and resources provided by the Business Consultant.</w:t>
            </w:r>
          </w:p>
        </w:tc>
        <w:tc>
          <w:tcPr/>
          <w:p>
            <w:pPr>
              <w:pStyle w:val="Compact"/>
              <w:jc w:val="left"/>
            </w:pPr>
            <w:r>
              <w:t xml:space="preserve">14 Jun 2025</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Regulatory Compliance &amp; Risk Assessment</w:t>
            </w:r>
            <w:r>
              <w:br/>
            </w:r>
            <w:r>
              <w:t xml:space="preserve">Thorough review of the company's compliance posture with Australian Competition and Consumer Commission (ACCC) guidelines, Queensland Workplace Health and Safety regulations, and Australian Taxation Office reporting obligations. Includes a detailed risk register and remediation action plan.</w:t>
            </w:r>
          </w:p>
        </w:tc>
        <w:tc>
          <w:tcPr/>
          <w:p>
            <w:pPr>
              <w:pStyle w:val="Compact"/>
              <w:jc w:val="left"/>
            </w:pPr>
            <w:r>
              <w:t xml:space="preserve">15 Jun 2025</w:t>
            </w:r>
          </w:p>
        </w:tc>
        <w:tc>
          <w:tcPr/>
          <w:p>
            <w:pPr>
              <w:pStyle w:val="Compact"/>
              <w:jc w:val="left"/>
            </w:pPr>
            <w:r>
              <w:t xml:space="preserve">8 hrs</w:t>
            </w:r>
          </w:p>
        </w:tc>
        <w:tc>
          <w:tcPr/>
          <w:p>
            <w:pPr>
              <w:pStyle w:val="Compact"/>
              <w:jc w:val="left"/>
            </w:pPr>
            <w:r>
              <w:t xml:space="preserve">$220.00</w:t>
            </w:r>
          </w:p>
        </w:tc>
        <w:tc>
          <w:tcPr/>
          <w:p>
            <w:pPr>
              <w:pStyle w:val="Compact"/>
              <w:jc w:val="left"/>
            </w:pPr>
            <w:r>
              <w:t xml:space="preserve">$1,760.00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$25,100.00</w:t>
            </w:r>
          </w:p>
        </w:tc>
      </w:tr>
      <w:tr>
        <w:tc>
          <w:tcPr/>
          <w:p>
            <w:pPr>
              <w:pStyle w:val="Compact"/>
              <w:jc w:val="left"/>
            </w:pPr>
            <w:r>
              <w:t xml:space="preserve">GST (10%)</w:t>
            </w:r>
          </w:p>
        </w:tc>
        <w:tc>
          <w:tcPr/>
          <w:p>
            <w:pPr>
              <w:pStyle w:val="Compact"/>
              <w:jc w:val="left"/>
            </w:pPr>
            <w:r>
              <w:t xml:space="preserve">$2,510.00</w:t>
            </w:r>
          </w:p>
        </w:tc>
      </w:tr>
      <w:tr>
        <w:tc>
          <w:tcPr/>
          <w:p>
            <w:pPr>
              <w:pStyle w:val="Compact"/>
              <w:jc w:val="left"/>
            </w:pPr>
            <w:r>
              <w:t xml:space="preserve">Discount – Early Engagement (5%)</w:t>
            </w:r>
          </w:p>
        </w:tc>
        <w:tc>
          <w:tcPr/>
          <w:p>
            <w:pPr>
              <w:pStyle w:val="Compact"/>
              <w:jc w:val="left"/>
            </w:pPr>
            <w:r>
              <w:t xml:space="preserve">-$1,255.00</w:t>
            </w:r>
          </w:p>
        </w:tc>
      </w:tr>
      <w:tr>
        <w:tc>
          <w:tcPr/>
          <w:p>
            <w:pPr>
              <w:pStyle w:val="Compact"/>
              <w:jc w:val="left"/>
            </w:pPr>
            <w:r>
              <w:t xml:space="preserve">Grand Total Due (AUD)</w:t>
            </w:r>
          </w:p>
        </w:tc>
        <w:tc>
          <w:tcPr/>
          <w:p>
            <w:pPr>
              <w:pStyle w:val="Compact"/>
              <w:jc w:val="left"/>
            </w:pPr>
            <w:r>
              <w:t xml:space="preserve">$26,355.00</w:t>
            </w:r>
          </w:p>
        </w:tc>
      </w:tr>
    </w:tbl>
    <w:bookmarkStart w:id="23" w:name="payment-instructions"/>
    <w:p>
      <w:pPr>
        <w:pStyle w:val="Heading4"/>
      </w:pPr>
      <w:r>
        <w:t xml:space="preserve">Payment Instructions</w:t>
      </w:r>
    </w:p>
    <w:p>
      <w:pPr>
        <w:pStyle w:val="FirstParagraph"/>
      </w:pPr>
      <w:r>
        <w:rPr>
          <w:bCs/>
          <w:b/>
        </w:rPr>
        <w:t xml:space="preserve">Bank Transfer (EFT):</w:t>
      </w:r>
      <w:r>
        <w:t xml:space="preserve"> </w:t>
      </w:r>
      <w:r>
        <w:t xml:space="preserve">All payments for this Invoice must be remitted to the Business Consultant's nominated bank account within thirty (30) calendar days of the issue date stated above.</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Strategic Advisory Partners Pty Ltd</w:t>
      </w:r>
    </w:p>
    <w:p>
      <w:pPr>
        <w:pStyle w:val="BodyText"/>
      </w:pPr>
      <w:r>
        <w:rPr>
          <w:bCs/>
          <w:b/>
        </w:rPr>
        <w:t xml:space="preserve">BSB:</w:t>
      </w:r>
      <w:r>
        <w:t xml:space="preserve"> </w:t>
      </w:r>
      <w:r>
        <w:t xml:space="preserve">063-120  | </w:t>
      </w:r>
      <w:r>
        <w:t xml:space="preserve"> </w:t>
      </w:r>
      <w:r>
        <w:rPr>
          <w:bCs/>
          <w:b/>
        </w:rPr>
        <w:t xml:space="preserve">Account Number:</w:t>
      </w:r>
      <w:r>
        <w:t xml:space="preserve"> </w:t>
      </w:r>
      <w:r>
        <w:t xml:space="preserve">1234 5678</w:t>
      </w:r>
    </w:p>
    <w:p>
      <w:pPr>
        <w:pStyle w:val="BodyText"/>
      </w:pPr>
      <w:r>
        <w:rPr>
          <w:bCs/>
          <w:b/>
        </w:rPr>
        <w:t xml:space="preserve">Reference:</w:t>
      </w:r>
      <w:r>
        <w:t xml:space="preserve"> </w:t>
      </w:r>
      <w:r>
        <w:t xml:space="preserve">INV-2025-0472 – Meridian Logistics Group</w:t>
      </w:r>
    </w:p>
    <w:p>
      <w:pPr>
        <w:pStyle w:val="BodyText"/>
      </w:pPr>
      <w:r>
        <w:t xml:space="preserve">Please ensure the Invoice reference number is included with all remittances to facilitate accurate reconciliation of accounts. Late payments may incur interest charges at the rate prescribed under the Australian Consumer Law and applicable Queensland commercial tenancy and contract legislation.</w:t>
      </w:r>
    </w:p>
    <w:bookmarkEnd w:id="23"/>
    <w:bookmarkStart w:id="24" w:name="important-notes-terms"/>
    <w:p>
      <w:pPr>
        <w:pStyle w:val="Heading4"/>
      </w:pPr>
      <w:r>
        <w:t xml:space="preserve">Important Notes &amp; Terms</w:t>
      </w:r>
    </w:p>
    <w:p>
      <w:pPr>
        <w:pStyle w:val="FirstParagraph"/>
      </w:pPr>
      <w:r>
        <w:t xml:space="preserve">1. This Invoice has been issued in accordance with the Australian Taxation Office (ATO) requirements for GST-registered entities operating in Australia Brisbane and the broader Queensland region.</w:t>
      </w:r>
    </w:p>
    <w:p>
      <w:pPr>
        <w:pStyle w:val="BodyText"/>
      </w:pPr>
      <w:r>
        <w:t xml:space="preserve">2. All services rendered by the Business Consultant are subject to the Master Services Agreement dated 01 March 2025 between Strategic Advisory Partners Pty Ltd and Meridian Logistics Group Pty Ltd.</w:t>
      </w:r>
    </w:p>
    <w:p>
      <w:pPr>
        <w:pStyle w:val="BodyText"/>
      </w:pPr>
      <w:r>
        <w:t xml:space="preserve">3. The Business Consultant warrants that all professional advice, strategic recommendations, and deliverables provided under this engagement have been prepared with reasonable skill and care in accordance with Australian professional standards.</w:t>
      </w:r>
    </w:p>
    <w:p>
      <w:pPr>
        <w:pStyle w:val="BodyText"/>
      </w:pPr>
      <w:r>
        <w:t xml:space="preserve">4. Any disputes arising from this Invoice or the associated services shall be resolved in accordance with the dispute resolution clause of the Master Services Agreement, with jurisdiction in the courts of Queensland, Australia Brisbane.</w:t>
      </w:r>
    </w:p>
    <w:p>
      <w:pPr>
        <w:pStyle w:val="BodyText"/>
      </w:pPr>
      <w:r>
        <w:t xml:space="preserve">5. This Invoice is valid for a period of ninety (90) days from the issue date. After this period, the Business Consultant reserves the right to reissue the document with updated terms.</w:t>
      </w:r>
    </w:p>
    <w:p>
      <w:pPr>
        <w:pStyle w:val="BodyText"/>
      </w:pPr>
      <w:r>
        <w:t xml:space="preserve">6. All intellectual property, reports, models, and strategic documents produced by the Business Consultant during this engagement remain the property of Strategic Advisory Partners Pty Ltd until full payment of this Invoice has been received and cleared.</w:t>
      </w:r>
    </w:p>
    <w:bookmarkEnd w:id="24"/>
    <w:p>
      <w:pPr>
        <w:pStyle w:val="BodyText"/>
      </w:pPr>
      <w:r>
        <w:rPr>
          <w:bCs/>
          <w:b/>
        </w:rPr>
        <w:t xml:space="preserve">Strategic Advisory Partners Pty Ltd</w:t>
      </w:r>
      <w:r>
        <w:t xml:space="preserve"> </w:t>
      </w:r>
      <w:r>
        <w:t xml:space="preserve">| ABN 48 215 673 901 | Level 12, 400 George Street, Brisbane, QLD 4000, Australia</w:t>
      </w:r>
    </w:p>
    <w:p>
      <w:pPr>
        <w:pStyle w:val="BodyText"/>
      </w:pPr>
      <w:r>
        <w:t xml:space="preserve">This Invoice was generated electronically and is valid without a physical signature. For queries regarding this Invoice, please contact our Brisbane billing office at billing@strategicadvisory.com.au or +61 7 3210 4567.</w:t>
      </w:r>
    </w:p>
    <w:p>
      <w:pPr>
        <w:pStyle w:val="BodyText"/>
      </w:pPr>
      <w:r>
        <w:t xml:space="preserve">Thank you for engaging our Business Consultant services. We look forward to continuing our professional partnership in Australia Brisbane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Australia Brisbane</dc:title>
  <dc:creator/>
  <dc:language>en</dc:language>
  <cp:keywords/>
  <dcterms:created xsi:type="dcterms:W3CDTF">2026-10-10T04:45:10Z</dcterms:created>
  <dcterms:modified xsi:type="dcterms:W3CDTF">2026-10-10T04:45:10Z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