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ridian-strategy-partners"/>
    <w:p>
      <w:pPr>
        <w:pStyle w:val="Heading1"/>
      </w:pPr>
      <w:r>
        <w:t xml:space="preserve">Meridian Strategy Partners</w:t>
      </w:r>
    </w:p>
    <w:p>
      <w:pPr>
        <w:pStyle w:val="FirstParagraph"/>
      </w:pPr>
      <w:r>
        <w:t xml:space="preserve">ABN: 48 215 673 901</w:t>
      </w:r>
    </w:p>
    <w:p>
      <w:pPr>
        <w:pStyle w:val="BodyText"/>
      </w:pPr>
      <w:r>
        <w:t xml:space="preserve">Suite 1204, Level 12, 333 Collins Street</w:t>
      </w:r>
    </w:p>
    <w:p>
      <w:pPr>
        <w:pStyle w:val="BodyText"/>
      </w:pPr>
      <w:r>
        <w:t xml:space="preserve">Melbourne, Victoria 3000, Australia</w:t>
      </w:r>
    </w:p>
    <w:p>
      <w:pPr>
        <w:pStyle w:val="BodyText"/>
      </w:pPr>
      <w:r>
        <w:t xml:space="preserve">Phone: +61 3 9655 4200</w:t>
      </w:r>
    </w:p>
    <w:p>
      <w:pPr>
        <w:pStyle w:val="BodyText"/>
      </w:pPr>
      <w:r>
        <w:t xml:space="preserve">Email: billing@meridianstrategy.com.au</w:t>
      </w:r>
    </w:p>
    <w:p>
      <w:pPr>
        <w:pStyle w:val="BodyText"/>
      </w:pPr>
      <w:r>
        <w:t xml:space="preserve">Web: www.meridianstrategy.com.au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Business Consultant Services</w:t>
      </w:r>
    </w:p>
    <w:bookmarkEnd w:id="21"/>
    <w:bookmarkStart w:id="22" w:name="bill-to"/>
    <w:p>
      <w:pPr>
        <w:pStyle w:val="Heading3"/>
      </w:pPr>
      <w:r>
        <w:t xml:space="preserve">Bill To</w:t>
      </w:r>
    </w:p>
    <w:p>
      <w:pPr>
        <w:pStyle w:val="FirstParagraph"/>
      </w:pPr>
      <w:r>
        <w:rPr>
          <w:bCs/>
          <w:b/>
        </w:rPr>
        <w:t xml:space="preserve">Harbourview Logistics Pty Ltd</w:t>
      </w:r>
    </w:p>
    <w:p>
      <w:pPr>
        <w:pStyle w:val="BodyText"/>
      </w:pPr>
      <w:r>
        <w:t xml:space="preserve">ABN: 12 847 290 556</w:t>
      </w:r>
    </w:p>
    <w:p>
      <w:pPr>
        <w:pStyle w:val="BodyText"/>
      </w:pPr>
      <w:r>
        <w:t xml:space="preserve">Attn: Mr. David Chen, Managing Director</w:t>
      </w:r>
    </w:p>
    <w:p>
      <w:pPr>
        <w:pStyle w:val="BodyText"/>
      </w:pPr>
      <w:r>
        <w:t xml:space="preserve">Unit 7, 88 Swanston Street</w:t>
      </w:r>
    </w:p>
    <w:p>
      <w:pPr>
        <w:pStyle w:val="BodyText"/>
      </w:pPr>
      <w:r>
        <w:t xml:space="preserve">Melbourne, Victoria 3000, Australia</w:t>
      </w:r>
    </w:p>
    <w:p>
      <w:pPr>
        <w:pStyle w:val="BodyText"/>
      </w:pPr>
      <w:r>
        <w:t xml:space="preserve">Email: d.chen@harbourviewlogistics.com.au</w:t>
      </w:r>
    </w:p>
    <w:bookmarkEnd w:id="22"/>
    <w:bookmarkStart w:id="23" w:name="prepared-by"/>
    <w:p>
      <w:pPr>
        <w:pStyle w:val="Heading3"/>
      </w:pPr>
      <w:r>
        <w:t xml:space="preserve">Prepared By</w:t>
      </w:r>
    </w:p>
    <w:p>
      <w:pPr>
        <w:pStyle w:val="FirstParagraph"/>
      </w:pPr>
      <w:r>
        <w:rPr>
          <w:bCs/>
          <w:b/>
        </w:rPr>
        <w:t xml:space="preserve">Sarah Mitchell, MBA</w:t>
      </w:r>
    </w:p>
    <w:p>
      <w:pPr>
        <w:pStyle w:val="BodyText"/>
      </w:pPr>
      <w:r>
        <w:t xml:space="preserve">Senior Business Consultant</w:t>
      </w:r>
    </w:p>
    <w:p>
      <w:pPr>
        <w:pStyle w:val="BodyText"/>
      </w:pPr>
      <w:r>
        <w:t xml:space="preserve">Meridian Strategy Partners</w:t>
      </w:r>
    </w:p>
    <w:p>
      <w:pPr>
        <w:pStyle w:val="BodyText"/>
      </w:pPr>
      <w:r>
        <w:t xml:space="preserve">Consultant ID: MSC-2024-019</w:t>
      </w:r>
    </w:p>
    <w:p>
      <w:pPr>
        <w:pStyle w:val="BodyText"/>
      </w:pPr>
      <w:r>
        <w:t xml:space="preserve">Engagement Reference: ENG-HL-2025-03</w:t>
      </w:r>
    </w:p>
    <w:p>
      <w:pPr>
        <w:pStyle w:val="BodyText"/>
      </w:pPr>
      <w:r>
        <w:t xml:space="preserve">Location: Melbourne, Australia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Strategic Business Planning &amp; Operational Review – Comprehensive assessment of Harbourview Logistics operations across Melbourne metropolitan distribution centres, including supply chain optimisation recommendations and workforce planning analysis.</w:t>
            </w:r>
          </w:p>
        </w:tc>
        <w:tc>
          <w:tcPr/>
          <w:p>
            <w:pPr>
              <w:pStyle w:val="Compact"/>
              <w:jc w:val="left"/>
            </w:pPr>
            <w:r>
              <w:t xml:space="preserve">32 hrs</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02</w:t>
            </w:r>
          </w:p>
        </w:tc>
        <w:tc>
          <w:tcPr/>
          <w:p>
            <w:pPr>
              <w:pStyle w:val="Compact"/>
              <w:jc w:val="left"/>
            </w:pPr>
            <w:r>
              <w:t xml:space="preserve">Financial Performance Analysis &amp; Budgeting Advisory – Detailed review of quarterly financial statements, cash flow projections, and preparation of a twelve-month forward budget aligned with Australian corporate tax obligations and Victorian state compliance requirements.</w:t>
            </w:r>
          </w:p>
        </w:tc>
        <w:tc>
          <w:tcPr/>
          <w:p>
            <w:pPr>
              <w:pStyle w:val="Compact"/>
              <w:jc w:val="left"/>
            </w:pPr>
            <w:r>
              <w:t xml:space="preserve">24 hrs</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03</w:t>
            </w:r>
          </w:p>
        </w:tc>
        <w:tc>
          <w:tcPr/>
          <w:p>
            <w:pPr>
              <w:pStyle w:val="Compact"/>
              <w:jc w:val="left"/>
            </w:pPr>
            <w:r>
              <w:t xml:space="preserve">Market Entry Strategy – Melbourne &amp; Victorian Region – Development of a phased market expansion plan targeting the Greater Melbourne area, including competitor analysis, pricing strategy, regulatory compliance mapping, and stakeholder engagement framework for local business partnerships.</w:t>
            </w:r>
          </w:p>
        </w:tc>
        <w:tc>
          <w:tcPr/>
          <w:p>
            <w:pPr>
              <w:pStyle w:val="Compact"/>
              <w:jc w:val="left"/>
            </w:pPr>
            <w:r>
              <w:t xml:space="preserve">20 hrs</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Change Management &amp; Organisational Development Workshop – Facilitation of two on-site workshops at the Melbourne office to address organisational restructuring, leadership development, and employee engagement strategies in accordance with Australian workplace relations legislation.</w:t>
            </w:r>
          </w:p>
        </w:tc>
        <w:tc>
          <w:tcPr/>
          <w:p>
            <w:pPr>
              <w:pStyle w:val="Compact"/>
              <w:jc w:val="left"/>
            </w:pPr>
            <w:r>
              <w:t xml:space="preserve">16 hrs</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Digital Transformation Roadmap – Assessment of current IT infrastructure and recommendation of technology adoption pathways to improve operational efficiency, data analytics capability, and customer experience across all Melbourne service locations.</w:t>
            </w:r>
          </w:p>
        </w:tc>
        <w:tc>
          <w:tcPr/>
          <w:p>
            <w:pPr>
              <w:pStyle w:val="Compact"/>
              <w:jc w:val="left"/>
            </w:pPr>
            <w:r>
              <w:t xml:space="preserve">18 hrs</w:t>
            </w:r>
          </w:p>
        </w:tc>
        <w:tc>
          <w:tcPr/>
          <w:p>
            <w:pPr>
              <w:pStyle w:val="Compact"/>
              <w:jc w:val="left"/>
            </w:pPr>
            <w:r>
              <w:t xml:space="preserve">$285.00</w:t>
            </w:r>
          </w:p>
        </w:tc>
        <w:tc>
          <w:tcPr/>
          <w:p>
            <w:pPr>
              <w:pStyle w:val="Compact"/>
              <w:jc w:val="left"/>
            </w:pPr>
            <w:r>
              <w:t xml:space="preserve">$5,130.00</w:t>
            </w:r>
          </w:p>
        </w:tc>
      </w:tr>
      <w:tr>
        <w:tc>
          <w:tcPr/>
          <w:p>
            <w:pPr>
              <w:pStyle w:val="Compact"/>
              <w:jc w:val="left"/>
            </w:pPr>
            <w:r>
              <w:t xml:space="preserve">06</w:t>
            </w:r>
          </w:p>
        </w:tc>
        <w:tc>
          <w:tcPr/>
          <w:p>
            <w:pPr>
              <w:pStyle w:val="Compact"/>
              <w:jc w:val="left"/>
            </w:pPr>
            <w:r>
              <w:t xml:space="preserve">Regulatory Compliance &amp; Risk Advisory – Review of business operations against Australian Competition and Consumer Commission (ACCC) guidelines, Victorian Fair Trading requirements, and industry-specific compliance standards applicable to logistics and transport enterprises in Melbourne.</w:t>
            </w:r>
          </w:p>
        </w:tc>
        <w:tc>
          <w:tcPr/>
          <w:p>
            <w:pPr>
              <w:pStyle w:val="Compact"/>
              <w:jc w:val="left"/>
            </w:pPr>
            <w:r>
              <w:t xml:space="preserve">12 hrs</w:t>
            </w:r>
          </w:p>
        </w:tc>
        <w:tc>
          <w:tcPr/>
          <w:p>
            <w:pPr>
              <w:pStyle w:val="Compact"/>
              <w:jc w:val="left"/>
            </w:pPr>
            <w:r>
              <w:t xml:space="preserve">$285.00</w:t>
            </w:r>
          </w:p>
        </w:tc>
        <w:tc>
          <w:tcPr/>
          <w:p>
            <w:pPr>
              <w:pStyle w:val="Compact"/>
              <w:jc w:val="left"/>
            </w:pPr>
            <w:r>
              <w:t xml:space="preserve">$3,420.00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$34,770.00</w:t>
            </w:r>
          </w:p>
        </w:tc>
      </w:tr>
      <w:tr>
        <w:tc>
          <w:tcPr/>
          <w:p>
            <w:pPr>
              <w:pStyle w:val="Compact"/>
              <w:jc w:val="left"/>
            </w:pPr>
            <w:r>
              <w:t xml:space="preserve">GST (10%) – Australian Goods and Services Tax</w:t>
            </w:r>
          </w:p>
        </w:tc>
        <w:tc>
          <w:tcPr/>
          <w:p>
            <w:pPr>
              <w:pStyle w:val="Compact"/>
              <w:jc w:val="left"/>
            </w:pPr>
            <w:r>
              <w:t xml:space="preserve">$3,477.00</w:t>
            </w:r>
          </w:p>
        </w:tc>
      </w:tr>
      <w:tr>
        <w:tc>
          <w:tcPr/>
          <w:p>
            <w:pPr>
              <w:pStyle w:val="Compact"/>
              <w:jc w:val="left"/>
            </w:pPr>
            <w:r>
              <w:t xml:space="preserve">Early Payment Discount (2% if paid within 7 days)</w:t>
            </w:r>
          </w:p>
        </w:tc>
        <w:tc>
          <w:tcPr/>
          <w:p>
            <w:pPr>
              <w:pStyle w:val="Compact"/>
              <w:jc w:val="left"/>
            </w:pPr>
            <w:r>
              <w:t xml:space="preserve">($695.40)</w:t>
            </w:r>
          </w:p>
        </w:tc>
      </w:tr>
      <w:tr>
        <w:tc>
          <w:tcPr/>
          <w:p>
            <w:pPr>
              <w:pStyle w:val="Compact"/>
              <w:jc w:val="left"/>
            </w:pPr>
            <w:r>
              <w:t xml:space="preserve">Total Amount Due (AUD)</w:t>
            </w:r>
          </w:p>
        </w:tc>
        <w:tc>
          <w:tcPr/>
          <w:p>
            <w:pPr>
              <w:pStyle w:val="Compact"/>
              <w:jc w:val="left"/>
            </w:pPr>
            <w:r>
              <w:t xml:space="preserve">$37,551.60</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(EFT) to Meridian Strategy Partners Pty Ltd</w:t>
      </w:r>
    </w:p>
    <w:p>
      <w:pPr>
        <w:pStyle w:val="BodyText"/>
      </w:pPr>
      <w:r>
        <w:rPr>
          <w:bCs/>
          <w:b/>
        </w:rPr>
        <w:t xml:space="preserve">Bank:</w:t>
      </w:r>
      <w:r>
        <w:t xml:space="preserve"> </w:t>
      </w:r>
      <w:r>
        <w:t xml:space="preserve">National Australia Bank (NAB)</w:t>
      </w:r>
    </w:p>
    <w:p>
      <w:pPr>
        <w:pStyle w:val="BodyText"/>
      </w:pPr>
      <w:r>
        <w:rPr>
          <w:bCs/>
          <w:b/>
        </w:rPr>
        <w:t xml:space="preserve">BSB:</w:t>
      </w:r>
      <w:r>
        <w:t xml:space="preserve"> </w:t>
      </w:r>
      <w:r>
        <w:t xml:space="preserve">082-001  | </w:t>
      </w:r>
      <w:r>
        <w:t xml:space="preserve"> </w:t>
      </w:r>
      <w:r>
        <w:rPr>
          <w:bCs/>
          <w:b/>
        </w:rPr>
        <w:t xml:space="preserve">Account Number:</w:t>
      </w:r>
      <w:r>
        <w:t xml:space="preserve"> </w:t>
      </w:r>
      <w:r>
        <w:t xml:space="preserve">1234 56789</w:t>
      </w:r>
    </w:p>
    <w:p>
      <w:pPr>
        <w:pStyle w:val="BodyText"/>
      </w:pPr>
      <w:r>
        <w:rPr>
          <w:bCs/>
          <w:b/>
        </w:rPr>
        <w:t xml:space="preserve">Reference:</w:t>
      </w:r>
      <w:r>
        <w:t xml:space="preserve"> </w:t>
      </w:r>
      <w:r>
        <w:t xml:space="preserve">INV-2025-0487 – Harbourview Logistics</w:t>
      </w:r>
    </w:p>
    <w:p>
      <w:pPr>
        <w:pStyle w:val="BodyText"/>
      </w:pPr>
      <w:r>
        <w:rPr>
          <w:bCs/>
          <w:b/>
        </w:rPr>
        <w:t xml:space="preserve">Payment Due:</w:t>
      </w:r>
      <w:r>
        <w:t xml:space="preserve"> </w:t>
      </w:r>
      <w:r>
        <w:t xml:space="preserve">This Invoice is payable within fourteen (14) calendar days from the Invoice date of 15 June 2025. Please ensure the full amount of $37,551.60 (inclusive of 10% GST) is remitted by 30 June 2025 to avoid late payment interest charges as stipulated in the Business Consultant service agreement.</w:t>
      </w:r>
    </w:p>
    <w:p>
      <w:pPr>
        <w:pStyle w:val="BodyText"/>
      </w:pPr>
      <w:r>
        <w:rPr>
          <w:bCs/>
          <w:b/>
        </w:rPr>
        <w:t xml:space="preserve">Important:</w:t>
      </w:r>
      <w:r>
        <w:t xml:space="preserve"> </w:t>
      </w:r>
      <w:r>
        <w:t xml:space="preserve">All services rendered by Meridian Strategy Partners as your dedicated Business Consultant in Australia Melbourne are subject to the terms outlined in the Master Services Agreement dated 1 April 2025. This Invoice constitutes a formal request for payment for professional consulting services delivered during the specified service period. Failure to remit payment by the due date may result in a late fee of 1.5% per month applied to the outstanding balance, in accordance with Victorian commercial tenancy and contract law provisions.</w:t>
      </w:r>
    </w:p>
    <w:bookmarkEnd w:id="24"/>
    <w:bookmarkStart w:id="25" w:name="X9092b90b5a53799a61d647a3cc48c6402ad09c7"/>
    <w:p>
      <w:pPr>
        <w:pStyle w:val="Heading3"/>
      </w:pPr>
      <w:r>
        <w:t xml:space="preserve">Terms &amp; Conditions – Business Consultant Engagement (Australia Melbourne)</w:t>
      </w:r>
    </w:p>
    <w:p>
      <w:pPr>
        <w:numPr>
          <w:ilvl w:val="0"/>
          <w:numId w:val="1001"/>
        </w:numPr>
        <w:pStyle w:val="Compact"/>
      </w:pPr>
      <w:r>
        <w:t xml:space="preserve">This Invoice is issued in accordance with the Australian Taxation Office (ATO) requirements for GST-registered businesses operating in Melbourne, Victoria, Australia. The 10% GST applied is in compliance with the A New Tax System (Goods and Services Tax) Act 1999 (Cth).</w:t>
      </w:r>
    </w:p>
    <w:p>
      <w:pPr>
        <w:numPr>
          <w:ilvl w:val="0"/>
          <w:numId w:val="1001"/>
        </w:numPr>
        <w:pStyle w:val="Compact"/>
      </w:pPr>
      <w:r>
        <w:t xml:space="preserve">All Business Consultant services described in this Invoice were performed by qualified professionals registered under the Australian Business Register and are subject to the professional indemnity insurance held by Meridian Strategy Partners (Policy No. PII-2025-88432, coverage: $10,000,000 AUD).</w:t>
      </w:r>
    </w:p>
    <w:p>
      <w:pPr>
        <w:numPr>
          <w:ilvl w:val="0"/>
          <w:numId w:val="1001"/>
        </w:numPr>
        <w:pStyle w:val="Compact"/>
      </w:pPr>
      <w:r>
        <w:t xml:space="preserve">Intellectual property generated during the course of this Business Consultant engagement, including but not limited to strategic plans, financial models, and operational frameworks, remains the property of Meridian Strategy Partners until full payment of this Invoice is received.</w:t>
      </w:r>
    </w:p>
    <w:p>
      <w:pPr>
        <w:numPr>
          <w:ilvl w:val="0"/>
          <w:numId w:val="1001"/>
        </w:numPr>
        <w:pStyle w:val="Compact"/>
      </w:pPr>
      <w:r>
        <w:t xml:space="preserve">Any disputes arising from this Invoice or the associated Business Consultant services shall be resolved in accordance with the Commercial Tenancy and Contract Law provisions of the State of Victoria, Australia, with jurisdiction vested in the Magistrates' Court of Victoria, Melbourne.</w:t>
      </w:r>
    </w:p>
    <w:p>
      <w:pPr>
        <w:numPr>
          <w:ilvl w:val="0"/>
          <w:numId w:val="1001"/>
        </w:numPr>
        <w:pStyle w:val="Compact"/>
      </w:pPr>
      <w:r>
        <w:t xml:space="preserve">Meridian Strategy Partners reserves the right to suspend ongoing Business Consultant services in Melbourne, Australia, if payment of this Invoice is not received within twenty-one (21) days of the due date, subject to a written notice of seven (7) days.</w:t>
      </w:r>
    </w:p>
    <w:p>
      <w:pPr>
        <w:numPr>
          <w:ilvl w:val="0"/>
          <w:numId w:val="1001"/>
        </w:numPr>
        <w:pStyle w:val="Compact"/>
      </w:pPr>
      <w:r>
        <w:t xml:space="preserve">This Invoice is valid for a period of ninety (90) days from the date of issue. After this period, the Invoice may be subject to re-assessment of applicable rates and charges.</w:t>
      </w:r>
    </w:p>
    <w:bookmarkEnd w:id="25"/>
    <w:p>
      <w:pPr>
        <w:pStyle w:val="FirstParagraph"/>
      </w:pPr>
      <w:r>
        <w:t xml:space="preserve">Thank you for engaging Meridian Strategy Partners as your Business Consultant in Australia Melbourne. We value our professional relationship and look forward to continuing to support your business growth and strategic objectives.</w:t>
      </w:r>
    </w:p>
    <w:p>
      <w:pPr>
        <w:pStyle w:val="BodyText"/>
      </w:pPr>
      <w:r>
        <w:t xml:space="preserve">This Invoice was generated electronically and is valid without a physical signature. For queries regarding this Invoice, please contact our billing department at billing@meridianstrategy.com.au or +61 3 9655 4200 (Melbourne, Australia).</w:t>
      </w:r>
    </w:p>
    <w:p>
      <w:pPr>
        <w:pStyle w:val="BodyText"/>
      </w:pPr>
      <w:r>
        <w:t xml:space="preserve">© 2025 Meridian Strategy Partners Pty Ltd. All rights reserved. ABN 48 215 673 901. Registered in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Australia Melbourne</dc:title>
  <dc:creator/>
  <dc:language>en</dc:language>
  <cp:keywords/>
  <dcterms:created xsi:type="dcterms:W3CDTF">2026-10-10T03:50:15Z</dcterms:created>
  <dcterms:modified xsi:type="dcterms:W3CDTF">2026-10-10T03:50:15Z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