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Australia</w:t>
      </w:r>
      <w:r>
        <w:t xml:space="preserve"> </w:t>
      </w:r>
      <w:r>
        <w:t xml:space="preserve">Sydney</w:t>
      </w:r>
    </w:p>
    <w:bookmarkStart w:id="20" w:name="strategic-edge-consulting-pty-ltd"/>
    <w:p>
      <w:pPr>
        <w:pStyle w:val="Heading1"/>
      </w:pPr>
      <w:r>
        <w:t xml:space="preserve">Strategic Edge Consulting Pty Ltd</w:t>
      </w:r>
    </w:p>
    <w:p>
      <w:pPr>
        <w:pStyle w:val="FirstParagraph"/>
      </w:pPr>
      <w:r>
        <w:t xml:space="preserve">ABN: 48 217 394 561</w:t>
      </w:r>
    </w:p>
    <w:p>
      <w:pPr>
        <w:pStyle w:val="BodyText"/>
      </w:pPr>
      <w:r>
        <w:t xml:space="preserve">Level 12, 200 George Street, Sydney NSW 2000, Australia</w:t>
      </w:r>
    </w:p>
    <w:p>
      <w:pPr>
        <w:pStyle w:val="BodyText"/>
      </w:pPr>
      <w:r>
        <w:t xml:space="preserve">Phone: +61 2 9374 8821</w:t>
      </w:r>
    </w:p>
    <w:p>
      <w:pPr>
        <w:pStyle w:val="BodyText"/>
      </w:pPr>
      <w:r>
        <w:t xml:space="preserve">Email: billing@strategicedgeconsulting.com.au</w:t>
      </w:r>
    </w:p>
    <w:p>
      <w:pPr>
        <w:pStyle w:val="BodyText"/>
      </w:pPr>
      <w:r>
        <w:t xml:space="preserve">Web: www.strategicedgeconsulting.com.au</w:t>
      </w:r>
    </w:p>
    <w:bookmarkEnd w:id="20"/>
    <w:bookmarkStart w:id="21" w:name="invoice"/>
    <w:p>
      <w:pPr>
        <w:pStyle w:val="Heading2"/>
      </w:pPr>
      <w:r>
        <w:t xml:space="preserve">INVOICE</w:t>
      </w:r>
    </w:p>
    <w:p>
      <w:pPr>
        <w:pStyle w:val="FirstParagraph"/>
      </w:pPr>
      <w:r>
        <w:t xml:space="preserve">Business Consultant Services</w:t>
      </w:r>
    </w:p>
    <w:p>
      <w:pPr>
        <w:pStyle w:val="BodyText"/>
      </w:pPr>
      <w:r>
        <w:t xml:space="preserve">Invoice No: SEC-2025-0487</w:t>
      </w:r>
    </w:p>
    <w:p>
      <w:pPr>
        <w:pStyle w:val="BodyText"/>
      </w:pPr>
      <w:r>
        <w:t xml:space="preserve">Due for Payment</w:t>
      </w:r>
    </w:p>
    <w:bookmarkEnd w:id="21"/>
    <w:bookmarkStart w:id="22" w:name="bill-to"/>
    <w:p>
      <w:pPr>
        <w:pStyle w:val="Heading3"/>
      </w:pPr>
      <w:r>
        <w:t xml:space="preserve">Bill To</w:t>
      </w:r>
    </w:p>
    <w:p>
      <w:pPr>
        <w:pStyle w:val="FirstParagraph"/>
      </w:pPr>
      <w:r>
        <w:rPr>
          <w:bCs/>
          <w:b/>
        </w:rPr>
        <w:t xml:space="preserve">Harbourview Retail Group Pty Ltd</w:t>
      </w:r>
    </w:p>
    <w:p>
      <w:pPr>
        <w:pStyle w:val="BodyText"/>
      </w:pPr>
      <w:r>
        <w:t xml:space="preserve">Attn: Ms. Catherine Whitfield, Chief Operating Officer</w:t>
      </w:r>
    </w:p>
    <w:p>
      <w:pPr>
        <w:pStyle w:val="BodyText"/>
      </w:pPr>
      <w:r>
        <w:t xml:space="preserve">Suite 5, 88 Martin Place, Sydney NSW 2000, Australia</w:t>
      </w:r>
    </w:p>
    <w:p>
      <w:pPr>
        <w:pStyle w:val="BodyText"/>
      </w:pPr>
      <w:r>
        <w:t xml:space="preserve">ABN: 12 845 672 309</w:t>
      </w:r>
    </w:p>
    <w:p>
      <w:pPr>
        <w:pStyle w:val="BodyText"/>
      </w:pPr>
      <w:r>
        <w:t xml:space="preserve">Email: c.whitfield@harbourviewretail.com.au</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Service Period:</w:t>
      </w:r>
      <w:r>
        <w:t xml:space="preserve"> </w:t>
      </w:r>
      <w:r>
        <w:t xml:space="preserve">1 May 2025 – 31 May 2025</w:t>
      </w:r>
    </w:p>
    <w:p>
      <w:pPr>
        <w:pStyle w:val="BodyText"/>
      </w:pPr>
      <w:r>
        <w:rPr>
          <w:bCs/>
          <w:b/>
        </w:rPr>
        <w:t xml:space="preserve">Payment Method:</w:t>
      </w:r>
      <w:r>
        <w:t xml:space="preserve"> </w:t>
      </w:r>
      <w:r>
        <w:t xml:space="preserve">EFT / Bank Transfer</w:t>
      </w:r>
    </w:p>
    <w:p>
      <w:pPr>
        <w:pStyle w:val="BodyText"/>
      </w:pPr>
      <w:r>
        <w:rPr>
          <w:bCs/>
          <w:b/>
        </w:rPr>
        <w:t xml:space="preserve">Reference:</w:t>
      </w:r>
      <w:r>
        <w:t xml:space="preserve"> </w:t>
      </w:r>
      <w:r>
        <w:t xml:space="preserve">SEC-2025-0487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t xml:space="preserve">Strategic Business Planning &amp; Operational Review – Business Consultant engagement for quarterly performance analysis, process optimisation, and growth strategy development for the Sydney metropolitan retail division.</w:t>
            </w:r>
          </w:p>
        </w:tc>
        <w:tc>
          <w:tcPr/>
          <w:p>
            <w:pPr>
              <w:pStyle w:val="Compact"/>
              <w:jc w:val="left"/>
            </w:pPr>
            <w:r>
              <w:t xml:space="preserve">$285.00</w:t>
            </w:r>
          </w:p>
        </w:tc>
        <w:tc>
          <w:tcPr/>
          <w:p>
            <w:pPr>
              <w:pStyle w:val="Compact"/>
              <w:jc w:val="left"/>
            </w:pPr>
            <w:r>
              <w:t xml:space="preserve">24.0</w:t>
            </w:r>
          </w:p>
        </w:tc>
        <w:tc>
          <w:tcPr/>
          <w:p>
            <w:pPr>
              <w:pStyle w:val="Compact"/>
              <w:jc w:val="left"/>
            </w:pPr>
            <w:r>
              <w:t xml:space="preserve">$6,840.00</w:t>
            </w:r>
          </w:p>
        </w:tc>
        <w:tc>
          <w:tcPr/>
          <w:p>
            <w:pPr>
              <w:pStyle w:val="Compact"/>
              <w:jc w:val="left"/>
            </w:pPr>
            <w:r>
              <w:t xml:space="preserve">$684.00</w:t>
            </w:r>
          </w:p>
        </w:tc>
      </w:tr>
      <w:tr>
        <w:tc>
          <w:tcPr/>
          <w:p>
            <w:pPr>
              <w:pStyle w:val="Compact"/>
              <w:jc w:val="left"/>
            </w:pPr>
            <w:r>
              <w:t xml:space="preserve">2</w:t>
            </w:r>
          </w:p>
        </w:tc>
        <w:tc>
          <w:tcPr/>
          <w:p>
            <w:pPr>
              <w:pStyle w:val="Compact"/>
              <w:jc w:val="left"/>
            </w:pPr>
            <w:r>
              <w:t xml:space="preserve">Supply Chain &amp; Logistics Advisory – Business Consultant on-site assessment at the client's distribution centre in Wetherill Park, NSW. Includes workflow mapping, vendor negotiation strategy, and cost-reduction recommendations.</w:t>
            </w:r>
          </w:p>
        </w:tc>
        <w:tc>
          <w:tcPr/>
          <w:p>
            <w:pPr>
              <w:pStyle w:val="Compact"/>
              <w:jc w:val="left"/>
            </w:pPr>
            <w:r>
              <w:t xml:space="preserve">$310.00</w:t>
            </w:r>
          </w:p>
        </w:tc>
        <w:tc>
          <w:tcPr/>
          <w:p>
            <w:pPr>
              <w:pStyle w:val="Compact"/>
              <w:jc w:val="left"/>
            </w:pPr>
            <w:r>
              <w:t xml:space="preserve">16.0</w:t>
            </w:r>
          </w:p>
        </w:tc>
        <w:tc>
          <w:tcPr/>
          <w:p>
            <w:pPr>
              <w:pStyle w:val="Compact"/>
              <w:jc w:val="left"/>
            </w:pPr>
            <w:r>
              <w:t xml:space="preserve">$4,960.00</w:t>
            </w:r>
          </w:p>
        </w:tc>
        <w:tc>
          <w:tcPr/>
          <w:p>
            <w:pPr>
              <w:pStyle w:val="Compact"/>
              <w:jc w:val="left"/>
            </w:pPr>
            <w:r>
              <w:t xml:space="preserve">$496.00</w:t>
            </w:r>
          </w:p>
        </w:tc>
      </w:tr>
      <w:tr>
        <w:tc>
          <w:tcPr/>
          <w:p>
            <w:pPr>
              <w:pStyle w:val="Compact"/>
              <w:jc w:val="left"/>
            </w:pPr>
            <w:r>
              <w:t xml:space="preserve">3</w:t>
            </w:r>
          </w:p>
        </w:tc>
        <w:tc>
          <w:tcPr/>
          <w:p>
            <w:pPr>
              <w:pStyle w:val="Compact"/>
              <w:jc w:val="left"/>
            </w:pPr>
            <w:r>
              <w:t xml:space="preserve">Digital Transformation Roadmap – Business Consultant facilitated workshops (3 sessions) with executive leadership team to develop a 12-month technology adoption plan aligned with Australia Sydney market demands and competitive positioning.</w:t>
            </w:r>
          </w:p>
        </w:tc>
        <w:tc>
          <w:tcPr/>
          <w:p>
            <w:pPr>
              <w:pStyle w:val="Compact"/>
              <w:jc w:val="left"/>
            </w:pPr>
            <w:r>
              <w:t xml:space="preserve">$350.00</w:t>
            </w:r>
          </w:p>
        </w:tc>
        <w:tc>
          <w:tcPr/>
          <w:p>
            <w:pPr>
              <w:pStyle w:val="Compact"/>
              <w:jc w:val="left"/>
            </w:pPr>
            <w:r>
              <w:t xml:space="preserve">12.0</w:t>
            </w:r>
          </w:p>
        </w:tc>
        <w:tc>
          <w:tcPr/>
          <w:p>
            <w:pPr>
              <w:pStyle w:val="Compact"/>
              <w:jc w:val="left"/>
            </w:pPr>
            <w:r>
              <w:t xml:space="preserve">$4,200.00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Workforce Development &amp; Change Management – Business Consultant delivered two half-day training sessions for middle management on organisational change frameworks, performance KPIs, and employee engagement strategies specific to the Australian retail sector.</w:t>
            </w:r>
          </w:p>
        </w:tc>
        <w:tc>
          <w:tcPr/>
          <w:p>
            <w:pPr>
              <w:pStyle w:val="Compact"/>
              <w:jc w:val="left"/>
            </w:pPr>
            <w:r>
              <w:t xml:space="preserve">$295.00</w:t>
            </w:r>
          </w:p>
        </w:tc>
        <w:tc>
          <w:tcPr/>
          <w:p>
            <w:pPr>
              <w:pStyle w:val="Compact"/>
              <w:jc w:val="left"/>
            </w:pPr>
            <w:r>
              <w:t xml:space="preserve">10.0</w:t>
            </w:r>
          </w:p>
        </w:tc>
        <w:tc>
          <w:tcPr/>
          <w:p>
            <w:pPr>
              <w:pStyle w:val="Compact"/>
              <w:jc w:val="left"/>
            </w:pPr>
            <w:r>
              <w:t xml:space="preserve">$2,950.00</w:t>
            </w:r>
          </w:p>
        </w:tc>
        <w:tc>
          <w:tcPr/>
          <w:p>
            <w:pPr>
              <w:pStyle w:val="Compact"/>
              <w:jc w:val="left"/>
            </w:pPr>
            <w:r>
              <w:t xml:space="preserve">$295.00</w:t>
            </w:r>
          </w:p>
        </w:tc>
      </w:tr>
      <w:tr>
        <w:tc>
          <w:tcPr/>
          <w:p>
            <w:pPr>
              <w:pStyle w:val="Compact"/>
              <w:jc w:val="left"/>
            </w:pPr>
            <w:r>
              <w:t xml:space="preserve">5</w:t>
            </w:r>
          </w:p>
        </w:tc>
        <w:tc>
          <w:tcPr/>
          <w:p>
            <w:pPr>
              <w:pStyle w:val="Compact"/>
              <w:jc w:val="left"/>
            </w:pPr>
            <w:r>
              <w:t xml:space="preserve">Market Research &amp; Competitive Intelligence Report – Comprehensive Business Consultant prepared report analysing the Australia Sydney consumer retail landscape, including demographic shifts, competitor benchmarking, and pricing strategy recommendations for FY2025-26.</w:t>
            </w:r>
          </w:p>
        </w:tc>
        <w:tc>
          <w:tcPr/>
          <w:p>
            <w:pPr>
              <w:pStyle w:val="Compact"/>
              <w:jc w:val="left"/>
            </w:pPr>
            <w:r>
              <w:t xml:space="preserve">$0.00</w:t>
            </w:r>
          </w:p>
        </w:tc>
        <w:tc>
          <w:tcPr/>
          <w:p>
            <w:pPr>
              <w:pStyle w:val="Compact"/>
              <w:jc w:val="left"/>
            </w:pPr>
            <w:r>
              <w:t xml:space="preserve">—</w:t>
            </w:r>
          </w:p>
        </w:tc>
        <w:tc>
          <w:tcPr/>
          <w:p>
            <w:pPr>
              <w:pStyle w:val="Compact"/>
              <w:jc w:val="left"/>
            </w:pPr>
            <w:r>
              <w:t xml:space="preserve">$3,500.00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Travel &amp; Accommodation Expenses – Business Consultant travel to client offices in Sydney CBD and regional site visits (Parramatta, Penrith). Includes taxi, parking, and one night accommodation at a registered Sydney hotel.</w:t>
            </w:r>
          </w:p>
        </w:tc>
        <w:tc>
          <w:tcPr/>
          <w:p>
            <w:pPr>
              <w:pStyle w:val="Compact"/>
              <w:jc w:val="left"/>
            </w:pPr>
            <w:r>
              <w:t xml:space="preserve">$0.00</w:t>
            </w:r>
          </w:p>
        </w:tc>
        <w:tc>
          <w:tcPr/>
          <w:p>
            <w:pPr>
              <w:pStyle w:val="Compact"/>
              <w:jc w:val="left"/>
            </w:pPr>
            <w:r>
              <w:t xml:space="preserve">—</w:t>
            </w:r>
          </w:p>
        </w:tc>
        <w:tc>
          <w:tcPr/>
          <w:p>
            <w:pPr>
              <w:pStyle w:val="Compact"/>
              <w:jc w:val="left"/>
            </w:pPr>
            <w:r>
              <w:t xml:space="preserve">$487.50</w:t>
            </w:r>
          </w:p>
        </w:tc>
        <w:tc>
          <w:tcPr/>
          <w:p>
            <w:pPr>
              <w:pStyle w:val="Compact"/>
              <w:jc w:val="left"/>
            </w:pPr>
            <w:r>
              <w:t xml:space="preserve">$48.75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$22,937.50</w:t>
            </w:r>
          </w:p>
        </w:tc>
      </w:tr>
      <w:tr>
        <w:tc>
          <w:tcPr/>
          <w:p>
            <w:pPr>
              <w:pStyle w:val="Compact"/>
              <w:jc w:val="left"/>
            </w:pPr>
            <w:r>
              <w:t xml:space="preserve">GST (10%)</w:t>
            </w:r>
          </w:p>
        </w:tc>
        <w:tc>
          <w:tcPr/>
          <w:p>
            <w:pPr>
              <w:pStyle w:val="Compact"/>
              <w:jc w:val="left"/>
            </w:pPr>
            <w:r>
              <w:t xml:space="preserve">$2,293.75</w:t>
            </w:r>
          </w:p>
        </w:tc>
      </w:tr>
      <w:tr>
        <w:tc>
          <w:tcPr/>
          <w:p>
            <w:pPr>
              <w:pStyle w:val="Compact"/>
              <w:jc w:val="left"/>
            </w:pPr>
            <w:r>
              <w:t xml:space="preserve">Discount (Early Payment – 2%)</w:t>
            </w:r>
          </w:p>
        </w:tc>
        <w:tc>
          <w:tcPr/>
          <w:p>
            <w:pPr>
              <w:pStyle w:val="Compact"/>
              <w:jc w:val="left"/>
            </w:pPr>
            <w:r>
              <w:t xml:space="preserve">($458.75)</w:t>
            </w:r>
          </w:p>
        </w:tc>
      </w:tr>
      <w:tr>
        <w:tc>
          <w:tcPr/>
          <w:p>
            <w:pPr>
              <w:pStyle w:val="Compact"/>
              <w:jc w:val="left"/>
            </w:pPr>
            <w:r>
              <w:t xml:space="preserve">TOTAL AMOUNT DUE (AUD)</w:t>
            </w:r>
          </w:p>
        </w:tc>
        <w:tc>
          <w:tcPr/>
          <w:p>
            <w:pPr>
              <w:pStyle w:val="Compact"/>
              <w:jc w:val="left"/>
            </w:pPr>
            <w:r>
              <w:t xml:space="preserve">$24,772.50</w:t>
            </w:r>
          </w:p>
        </w:tc>
      </w:tr>
    </w:tbl>
    <w:bookmarkStart w:id="24" w:name="payment-terms-notes"/>
    <w:p>
      <w:pPr>
        <w:pStyle w:val="Heading3"/>
      </w:pPr>
      <w:r>
        <w:t xml:space="preserve">Payment Terms &amp; Notes</w:t>
      </w:r>
    </w:p>
    <w:p>
      <w:pPr>
        <w:pStyle w:val="FirstParagraph"/>
      </w:pPr>
      <w:r>
        <w:rPr>
          <w:bCs/>
          <w:b/>
        </w:rPr>
        <w:t xml:space="preserve">1.</w:t>
      </w:r>
      <w:r>
        <w:t xml:space="preserve"> </w:t>
      </w:r>
      <w:r>
        <w:t xml:space="preserve">This Invoice is issued by Strategic Edge Consulting Pty Ltd, a registered Business Consultant firm operating in Australia Sydney, in accordance with the Australian Taxation Office (ATO) invoicing requirements under the Goods and Services Tax (GST) Act 1999.</w:t>
      </w:r>
    </w:p>
    <w:p>
      <w:pPr>
        <w:pStyle w:val="BodyText"/>
      </w:pPr>
      <w:r>
        <w:rPr>
          <w:bCs/>
          <w:b/>
        </w:rPr>
        <w:t xml:space="preserve">2.</w:t>
      </w:r>
      <w:r>
        <w:t xml:space="preserve"> </w:t>
      </w:r>
      <w:r>
        <w:t xml:space="preserve">Payment is due within thirty (30) calendar days from the Invoice date of 14 June 2025. Please remit payment via Electronic Funds Transfer (EFT) to the following account: BSB 062-000, Account No. 1234 5678, Account Name: Strategic Edge Consulting Pty Ltd. Kindly reference Invoice number SEC-2025-0487 on your payment.</w:t>
      </w:r>
    </w:p>
    <w:p>
      <w:pPr>
        <w:pStyle w:val="BodyText"/>
      </w:pPr>
      <w:r>
        <w:rPr>
          <w:bCs/>
          <w:b/>
        </w:rPr>
        <w:t xml:space="preserve">3.</w:t>
      </w:r>
      <w:r>
        <w:t xml:space="preserve"> </w:t>
      </w:r>
      <w:r>
        <w:t xml:space="preserve">A 2% early payment discount is available if the full Invoice amount is settled within fourteen (14) days of the issue date. Late payments will attract interest at the rate of 1.5% per month in accordance with the Australian Consumer Law and the terms of our Master Services Agreement dated 1 January 2025.</w:t>
      </w:r>
    </w:p>
    <w:p>
      <w:pPr>
        <w:pStyle w:val="BodyText"/>
      </w:pPr>
      <w:r>
        <w:rPr>
          <w:bCs/>
          <w:b/>
        </w:rPr>
        <w:t xml:space="preserve">4.</w:t>
      </w:r>
      <w:r>
        <w:t xml:space="preserve"> </w:t>
      </w:r>
      <w:r>
        <w:t xml:space="preserve">All Business Consultant services rendered under this Invoice have been performed in Australia Sydney and are subject to the jurisdiction of the New South Wales courts. Any disputes arising from this Invoice shall be resolved through mediation in accordance with the Australian Commercial Disputes Resolution guidelines.</w:t>
      </w:r>
    </w:p>
    <w:p>
      <w:pPr>
        <w:pStyle w:val="BodyText"/>
      </w:pPr>
      <w:r>
        <w:rPr>
          <w:bCs/>
          <w:b/>
        </w:rPr>
        <w:t xml:space="preserve">5.</w:t>
      </w:r>
      <w:r>
        <w:t xml:space="preserve"> </w:t>
      </w:r>
      <w:r>
        <w:t xml:space="preserve">This Invoice includes 10% GST as required by Australian tax law. A Tax Invoice is available upon request for the purpose of claiming GST credits. Please contact our billing department at billing@strategicedgeconsulting.com.au if you require a formal Tax Invoice or any clarification regarding the line items listed above.</w:t>
      </w:r>
    </w:p>
    <w:p>
      <w:pPr>
        <w:pStyle w:val="BodyText"/>
      </w:pPr>
      <w:r>
        <w:rPr>
          <w:bCs/>
          <w:b/>
        </w:rPr>
        <w:t xml:space="preserve">6.</w:t>
      </w:r>
      <w:r>
        <w:t xml:space="preserve"> </w:t>
      </w:r>
      <w:r>
        <w:t xml:space="preserve">The Business Consultant services described in this Invoice were delivered in full compliance with the professional standards set by the Australian Institute of Company Directors (AICD) and the Australian Business Consultancy Association (ABCA). All deliverables, including the Market Research Report and Digital Transformation Roadmap, have been handed over to the client's designated project manager, Mr. David Chen, on 31 May 2025.</w:t>
      </w:r>
    </w:p>
    <w:p>
      <w:pPr>
        <w:pStyle w:val="BodyText"/>
      </w:pPr>
      <w:r>
        <w:rPr>
          <w:bCs/>
          <w:b/>
        </w:rPr>
        <w:t xml:space="preserve">7.</w:t>
      </w:r>
      <w:r>
        <w:t xml:space="preserve"> </w:t>
      </w:r>
      <w:r>
        <w:t xml:space="preserve">Should you have any questions regarding this Invoice or the Business Consultant engagement, please do not hesitate to contact your dedicated account manager, Sarah Okafor, at +61 2 9374 8821 or s.okafor@strategicedgeconsulting.com.au. We value our ongoing partnership with Harbourview Retail Group and look forward to continuing our Business Consultant relationship in Australia Sydney for the coming fiscal year.</w:t>
      </w:r>
    </w:p>
    <w:bookmarkEnd w:id="24"/>
    <w:p>
      <w:pPr>
        <w:pStyle w:val="BodyText"/>
      </w:pPr>
      <w:r>
        <w:t xml:space="preserve">Strategic Edge Consulting Pty Ltd | ABN 48 217 394 561 | Level 12, 200 George Street, Sydney NSW 2000, Australia</w:t>
      </w:r>
    </w:p>
    <w:p>
      <w:pPr>
        <w:pStyle w:val="BodyText"/>
      </w:pPr>
      <w:r>
        <w:t xml:space="preserve">This Invoice was generated electronically and is valid without a physical signature. For queries, reference Invoice No. SEC-2025-0487.</w:t>
      </w:r>
    </w:p>
    <w:p>
      <w:pPr>
        <w:pStyle w:val="BodyText"/>
      </w:pPr>
      <w:r>
        <w:t xml:space="preserve">© 2025 Strategic Edge Consulting Pty Ltd. All rights reserved. Business Consultant services provided in Australia Sydney under the terms of the Master Services Agreement.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Australia Sydney</dc:title>
  <dc:creator/>
  <dc:language>en-AU</dc:language>
  <cp:keywords/>
  <dcterms:created xsi:type="dcterms:W3CDTF">2026-10-10T01:58:56Z</dcterms:created>
  <dcterms:modified xsi:type="dcterms:W3CDTF">2026-10-10T01:58:56Z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