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Bangladesh</w:t>
      </w:r>
      <w:r>
        <w:t xml:space="preserve"> </w:t>
      </w:r>
      <w:r>
        <w:t xml:space="preserve">Dhaka</w:t>
      </w:r>
    </w:p>
    <w:bookmarkStart w:id="20" w:name="apex-strategic-advisory-ltd."/>
    <w:p>
      <w:pPr>
        <w:pStyle w:val="Heading1"/>
      </w:pPr>
      <w:r>
        <w:t xml:space="preserve">Apex Strategic Advisory Ltd.</w:t>
      </w:r>
    </w:p>
    <w:p>
      <w:pPr>
        <w:pStyle w:val="FirstParagraph"/>
      </w:pPr>
      <w:r>
        <w:t xml:space="preserve">Business Consultant Services Division</w:t>
      </w:r>
    </w:p>
    <w:p>
      <w:pPr>
        <w:pStyle w:val="BodyText"/>
      </w:pPr>
      <w:r>
        <w:t xml:space="preserve">House 42, Road 11, Banani, Dhaka-1213, Bangladesh</w:t>
      </w:r>
    </w:p>
    <w:p>
      <w:pPr>
        <w:pStyle w:val="BodyText"/>
      </w:pPr>
      <w:r>
        <w:t xml:space="preserve">Tel: +880-2-988-4521 | Email: billing@apexstrategicbd.com</w:t>
      </w:r>
    </w:p>
    <w:p>
      <w:pPr>
        <w:pStyle w:val="BodyText"/>
      </w:pPr>
      <w:r>
        <w:t xml:space="preserve">VAT Reg. No: 001234567-0101 | TIN: 501234567890</w:t>
      </w:r>
    </w:p>
    <w:bookmarkEnd w:id="20"/>
    <w:bookmarkStart w:id="21" w:name="invoice"/>
    <w:p>
      <w:pPr>
        <w:pStyle w:val="Heading2"/>
      </w:pPr>
      <w:r>
        <w:t xml:space="preserve">INVOICE</w:t>
      </w:r>
    </w:p>
    <w:p>
      <w:pPr>
        <w:pStyle w:val="FirstParagraph"/>
      </w:pPr>
      <w:r>
        <w:t xml:space="preserve">Invoice No: ASB-2025-00472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GreenLeaf Textiles &amp; Garments PLC</w:t>
      </w:r>
    </w:p>
    <w:p>
      <w:pPr>
        <w:pStyle w:val="BodyText"/>
      </w:pPr>
      <w:r>
        <w:t xml:space="preserve">Attn:</w:t>
      </w:r>
      <w:r>
        <w:t xml:space="preserve"> </w:t>
      </w:r>
      <w:r>
        <w:t xml:space="preserve">Mr. Rafiqul Islam, Chief Executive Officer</w:t>
      </w:r>
    </w:p>
    <w:p>
      <w:pPr>
        <w:pStyle w:val="BodyText"/>
      </w:pPr>
      <w:r>
        <w:t xml:space="preserve">Address:</w:t>
      </w:r>
      <w:r>
        <w:t xml:space="preserve"> </w:t>
      </w:r>
      <w:r>
        <w:t xml:space="preserve">Plot 7, Industrial Area, Savar, Dhaka-1349, Bangladesh</w:t>
      </w:r>
    </w:p>
    <w:p>
      <w:pPr>
        <w:pStyle w:val="BodyText"/>
      </w:pPr>
      <w:r>
        <w:t xml:space="preserve">Contact:</w:t>
      </w:r>
      <w:r>
        <w:t xml:space="preserve"> </w:t>
      </w:r>
      <w:r>
        <w:t xml:space="preserve">+880-1711-234567</w:t>
      </w:r>
    </w:p>
    <w:p>
      <w:pPr>
        <w:pStyle w:val="BodyText"/>
      </w:pPr>
      <w:r>
        <w:t xml:space="preserve">Email:</w:t>
      </w:r>
      <w:r>
        <w:t xml:space="preserve"> </w:t>
      </w:r>
      <w:r>
        <w:t xml:space="preserve">ceo@greenleaftex.com.bd</w:t>
      </w:r>
    </w:p>
    <w:p>
      <w:pPr>
        <w:pStyle w:val="BodyText"/>
      </w:pPr>
      <w:r>
        <w:t xml:space="preserve">Client Ref:</w:t>
      </w:r>
      <w:r>
        <w:t xml:space="preserve"> </w:t>
      </w:r>
      <w:r>
        <w:t xml:space="preserve">GLT-2025-Q2-003</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01 May 2025 – 31 May 2025</w:t>
      </w:r>
    </w:p>
    <w:p>
      <w:pPr>
        <w:pStyle w:val="BodyText"/>
      </w:pPr>
      <w:r>
        <w:t xml:space="preserve">Project Code:</w:t>
      </w:r>
      <w:r>
        <w:t xml:space="preserve"> </w:t>
      </w:r>
      <w:r>
        <w:t xml:space="preserve">BCS-DHK-2025-118</w:t>
      </w:r>
    </w:p>
    <w:p>
      <w:pPr>
        <w:pStyle w:val="BodyText"/>
      </w:pPr>
      <w:r>
        <w:t xml:space="preserve">Currency:</w:t>
      </w:r>
      <w:r>
        <w:t xml:space="preserve"> </w:t>
      </w:r>
      <w:r>
        <w:t xml:space="preserve">Bangladeshi Taka (BDT / ৳)</w:t>
      </w:r>
    </w:p>
    <w:p>
      <w:pPr>
        <w:pStyle w:val="BodyText"/>
      </w:pPr>
      <w:r>
        <w:t xml:space="preserve">Payment Method:</w:t>
      </w:r>
      <w:r>
        <w:t xml:space="preserve"> </w:t>
      </w:r>
      <w:r>
        <w:t xml:space="preserve">Bank Transfer</w:t>
      </w:r>
    </w:p>
    <w:p>
      <w:pPr>
        <w:pStyle w:val="BodyText"/>
      </w:pPr>
      <w:r>
        <w:t xml:space="preserve">Bank:</w:t>
      </w:r>
      <w:r>
        <w:t xml:space="preserve"> </w:t>
      </w:r>
      <w:r>
        <w:t xml:space="preserve">BRAC Bank Ltd., Banani Branch, Dhaka</w:t>
      </w:r>
    </w:p>
    <w:p>
      <w:pPr>
        <w:pStyle w:val="BodyText"/>
      </w:pPr>
      <w:r>
        <w:t xml:space="preserve">Account No:</w:t>
      </w:r>
      <w:r>
        <w:t xml:space="preserve"> </w:t>
      </w:r>
      <w:r>
        <w:t xml:space="preserve">1045-8823-001</w:t>
      </w:r>
    </w:p>
    <w:p>
      <w:pPr>
        <w:pStyle w:val="BodyText"/>
      </w:pPr>
      <w:r>
        <w:t xml:space="preserve">SWIFT Code:</w:t>
      </w:r>
      <w:r>
        <w:t xml:space="preserve"> </w:t>
      </w:r>
      <w:r>
        <w:t xml:space="preserve">BRACBD22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Strategic Business Planning &amp; Organizational Restructuring Advisory – On-site consultation at client premises in Dhaka, Bangladesh. Includes SWOT analysis, competitive benchmarking, and five-year growth roadmap development for the textile manufacturing division.</w:t>
            </w:r>
          </w:p>
        </w:tc>
        <w:tc>
          <w:tcPr/>
          <w:p>
            <w:pPr>
              <w:pStyle w:val="Compact"/>
              <w:jc w:val="left"/>
            </w:pPr>
            <w:r>
              <w:t xml:space="preserve">48 hrs</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Supply Chain Optimization &amp; Logistics Advisory – Business Consultant engagement covering end-to-end supply chain mapping, vendor negotiation strategy, and inventory management system design for operations across Dhaka and Gazipur industrial zones.</w:t>
            </w:r>
          </w:p>
        </w:tc>
        <w:tc>
          <w:tcPr/>
          <w:p>
            <w:pPr>
              <w:pStyle w:val="Compact"/>
              <w:jc w:val="left"/>
            </w:pPr>
            <w:r>
              <w:t xml:space="preserve">32 hrs</w:t>
            </w:r>
          </w:p>
        </w:tc>
        <w:tc>
          <w:tcPr/>
          <w:p>
            <w:pPr>
              <w:pStyle w:val="Compact"/>
              <w:jc w:val="left"/>
            </w:pPr>
            <w:r>
              <w:t xml:space="preserve">4,500.00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Market Entry &amp; Export Strategy Development – Comprehensive research and advisory on expanding into Southeast Asian markets. Includes regulatory compliance review under Bangladesh Export-Import Policy, tariff analysis, and partnership identification.</w:t>
            </w:r>
          </w:p>
        </w:tc>
        <w:tc>
          <w:tcPr/>
          <w:p>
            <w:pPr>
              <w:pStyle w:val="Compact"/>
              <w:jc w:val="left"/>
            </w:pPr>
            <w:r>
              <w:t xml:space="preserve">24 hrs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Financial Modeling &amp; Investment Feasibility Study – Preparation of detailed financial projections, NPV/IRR calculations, and risk assessment for proposed new production facility in the Dhaka Export Processing Zone (EPZ).</w:t>
            </w:r>
          </w:p>
        </w:tc>
        <w:tc>
          <w:tcPr/>
          <w:p>
            <w:pPr>
              <w:pStyle w:val="Compact"/>
              <w:jc w:val="left"/>
            </w:pPr>
            <w:r>
              <w:t xml:space="preserve">20 hrs</w:t>
            </w:r>
          </w:p>
        </w:tc>
        <w:tc>
          <w:tcPr/>
          <w:p>
            <w:pPr>
              <w:pStyle w:val="Compact"/>
              <w:jc w:val="left"/>
            </w:pPr>
            <w:r>
              <w:t xml:space="preserve">5,500.00</w:t>
            </w:r>
          </w:p>
        </w:tc>
        <w:tc>
          <w:tcPr/>
          <w:p>
            <w:pPr>
              <w:pStyle w:val="Compact"/>
              <w:jc w:val="left"/>
            </w:pPr>
            <w:r>
              <w:t xml:space="preserve">110,000.00</w:t>
            </w:r>
          </w:p>
        </w:tc>
      </w:tr>
      <w:tr>
        <w:tc>
          <w:tcPr/>
          <w:p>
            <w:pPr>
              <w:pStyle w:val="Compact"/>
              <w:jc w:val="left"/>
            </w:pPr>
            <w:r>
              <w:t xml:space="preserve">5</w:t>
            </w:r>
          </w:p>
        </w:tc>
        <w:tc>
          <w:tcPr/>
          <w:p>
            <w:pPr>
              <w:pStyle w:val="Compact"/>
              <w:jc w:val="left"/>
            </w:pPr>
            <w:r>
              <w:t xml:space="preserve">Management Training &amp; Capacity Building Workshop – Two-day intensive workshop for 25 senior managers in Dhaka covering leadership development, change management frameworks, and KPI-driven performance management systems.</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Digital Transformation Roadmap &amp; ERP Implementation Advisory – Assessment of current IT infrastructure, selection criteria for ERP vendor, and phased implementation plan aligned with Bangladesh digital economy initiatives.</w:t>
            </w:r>
          </w:p>
        </w:tc>
        <w:tc>
          <w:tcPr/>
          <w:p>
            <w:pPr>
              <w:pStyle w:val="Compact"/>
              <w:jc w:val="left"/>
            </w:pPr>
            <w:r>
              <w:t xml:space="preserve">16 hrs</w:t>
            </w:r>
          </w:p>
        </w:tc>
        <w:tc>
          <w:tcPr/>
          <w:p>
            <w:pPr>
              <w:pStyle w:val="Compact"/>
              <w:jc w:val="left"/>
            </w:pPr>
            <w:r>
              <w:t xml:space="preserve">5,000.00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Monthly Progress Reporting &amp; Stakeholder Presentation – Compilation of monthly Business Consultant activity reports, presentation to the Board of Directors in Dhaka, and follow-up action item tracking.</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865,000.00</w:t>
            </w:r>
          </w:p>
        </w:tc>
      </w:tr>
      <w:tr>
        <w:tc>
          <w:tcPr/>
          <w:p>
            <w:pPr>
              <w:pStyle w:val="Compact"/>
              <w:jc w:val="left"/>
            </w:pPr>
            <w:r>
              <w:t xml:space="preserve">VAT @ 15% (as per Bangladesh NBR regulations)</w:t>
            </w:r>
          </w:p>
        </w:tc>
        <w:tc>
          <w:tcPr/>
          <w:p>
            <w:pPr>
              <w:pStyle w:val="Compact"/>
              <w:jc w:val="left"/>
            </w:pPr>
            <w:r>
              <w:t xml:space="preserve">129,750.00</w:t>
            </w:r>
          </w:p>
        </w:tc>
      </w:tr>
      <w:tr>
        <w:tc>
          <w:tcPr/>
          <w:p>
            <w:pPr>
              <w:pStyle w:val="Compact"/>
              <w:jc w:val="left"/>
            </w:pPr>
            <w:r>
              <w:t xml:space="preserve">Service Tax @ 3% (NBR applicable)</w:t>
            </w:r>
          </w:p>
        </w:tc>
        <w:tc>
          <w:tcPr/>
          <w:p>
            <w:pPr>
              <w:pStyle w:val="Compact"/>
              <w:jc w:val="left"/>
            </w:pPr>
            <w:r>
              <w:t xml:space="preserve">25,950.00</w:t>
            </w:r>
          </w:p>
        </w:tc>
      </w:tr>
      <w:tr>
        <w:tc>
          <w:tcPr/>
          <w:p>
            <w:pPr>
              <w:pStyle w:val="Compact"/>
              <w:jc w:val="left"/>
            </w:pPr>
            <w:r>
              <w:t xml:space="preserve">Travel &amp; Local Transportation (Dhaka Metro Area)</w:t>
            </w:r>
          </w:p>
        </w:tc>
        <w:tc>
          <w:tcPr/>
          <w:p>
            <w:pPr>
              <w:pStyle w:val="Compact"/>
              <w:jc w:val="left"/>
            </w:pPr>
            <w:r>
              <w:t xml:space="preserve">12,500.00</w:t>
            </w:r>
          </w:p>
        </w:tc>
      </w:tr>
      <w:tr>
        <w:tc>
          <w:tcPr/>
          <w:p>
            <w:pPr>
              <w:pStyle w:val="Compact"/>
              <w:jc w:val="left"/>
            </w:pPr>
            <w:r>
              <w:t xml:space="preserve">Discount (Early Payment – 2% within 15 days)</w:t>
            </w:r>
          </w:p>
        </w:tc>
        <w:tc>
          <w:tcPr/>
          <w:p>
            <w:pPr>
              <w:pStyle w:val="Compact"/>
              <w:jc w:val="left"/>
            </w:pPr>
            <w:r>
              <w:t xml:space="preserve">(17,300.00)</w:t>
            </w:r>
          </w:p>
        </w:tc>
      </w:tr>
      <w:tr>
        <w:tc>
          <w:tcPr/>
          <w:p>
            <w:pPr>
              <w:pStyle w:val="Compact"/>
              <w:jc w:val="left"/>
            </w:pPr>
            <w:r>
              <w:t xml:space="preserve">GRAND TOTAL DUE</w:t>
            </w:r>
          </w:p>
        </w:tc>
        <w:tc>
          <w:tcPr/>
          <w:p>
            <w:pPr>
              <w:pStyle w:val="Compact"/>
              <w:jc w:val="left"/>
            </w:pPr>
            <w:r>
              <w:t xml:space="preserve">BDT 1,015,900.00</w:t>
            </w:r>
          </w:p>
        </w:tc>
      </w:tr>
    </w:tbl>
    <w:bookmarkStart w:id="24" w:name="terms-conditions-important-notes"/>
    <w:p>
      <w:pPr>
        <w:pStyle w:val="Heading3"/>
      </w:pPr>
      <w:r>
        <w:t xml:space="preserve">Terms, Conditions &amp; Important Notes</w:t>
      </w:r>
    </w:p>
    <w:p>
      <w:pPr>
        <w:pStyle w:val="FirstParagraph"/>
      </w:pPr>
      <w:r>
        <w:t xml:space="preserve">This Invoice is issued by Apex Strategic Advisory Ltd., a registered Business Consultant firm operating in Bangladesh Dhaka, in accordance with the Bangladesh Companies Act 1994 and the National Board of Revenue (NBR) invoicing guidelines. All services rendered under this Invoice have been delivered by certified Business Consultant professionals with a minimum of ten years of experience in the Bangladeshi corporate landscape.</w:t>
      </w:r>
    </w:p>
    <w:p>
      <w:pPr>
        <w:numPr>
          <w:ilvl w:val="0"/>
          <w:numId w:val="1001"/>
        </w:numPr>
        <w:pStyle w:val="Compact"/>
      </w:pPr>
      <w:r>
        <w:t xml:space="preserve">Payment is due within fifteen (15) calendar days from the Invoice date. Late payments shall attract a penalty of 1.5% per month as per the Bangladesh Negotiable Instruments Act.</w:t>
      </w:r>
    </w:p>
    <w:p>
      <w:pPr>
        <w:numPr>
          <w:ilvl w:val="0"/>
          <w:numId w:val="1001"/>
        </w:numPr>
        <w:pStyle w:val="Compact"/>
      </w:pPr>
      <w:r>
        <w:t xml:space="preserve">All amounts stated in this Invoice are in Bangladeshi Taka (BDT). The Business Consultant engagement was conducted primarily in Dhaka, Bangladesh, and all travel, accommodation, and local logistics costs within the Dhaka metropolitan area are included.</w:t>
      </w:r>
    </w:p>
    <w:p>
      <w:pPr>
        <w:numPr>
          <w:ilvl w:val="0"/>
          <w:numId w:val="1001"/>
        </w:numPr>
        <w:pStyle w:val="Compact"/>
      </w:pPr>
      <w:r>
        <w:t xml:space="preserve">VAT and Service Tax have been applied as mandated by the Bangladesh National Board of Revenue (NBR). The client is entitled to input tax credit on the VAT portion as per applicable tax law in Bangladesh.</w:t>
      </w:r>
    </w:p>
    <w:p>
      <w:pPr>
        <w:numPr>
          <w:ilvl w:val="0"/>
          <w:numId w:val="1001"/>
        </w:numPr>
        <w:pStyle w:val="Compact"/>
      </w:pPr>
      <w:r>
        <w:t xml:space="preserve">This Invoice covers the service period of May 2025 only. Subsequent months of the Business Consultant retainer agreement will be invoiced separately with updated project codes.</w:t>
      </w:r>
    </w:p>
    <w:p>
      <w:pPr>
        <w:numPr>
          <w:ilvl w:val="0"/>
          <w:numId w:val="1001"/>
        </w:numPr>
        <w:pStyle w:val="Compact"/>
      </w:pPr>
      <w:r>
        <w:t xml:space="preserve">Any disputes arising from this Invoice shall be resolved through arbitration in Dhaka, Bangladesh, in accordance with the Bangladesh Arbitration Act 2001.</w:t>
      </w:r>
    </w:p>
    <w:p>
      <w:pPr>
        <w:numPr>
          <w:ilvl w:val="0"/>
          <w:numId w:val="1001"/>
        </w:numPr>
        <w:pStyle w:val="Compact"/>
      </w:pPr>
      <w:r>
        <w:t xml:space="preserve">Confidentiality: All data, strategies, and proprietary information shared during the Business Consultant engagement remain the exclusive property of the client. Apex Strategic Advisory Ltd. shall not disclose any project details to third parties without written consent.</w:t>
      </w:r>
    </w:p>
    <w:p>
      <w:pPr>
        <w:numPr>
          <w:ilvl w:val="0"/>
          <w:numId w:val="1001"/>
        </w:numPr>
        <w:pStyle w:val="Compact"/>
      </w:pPr>
      <w:r>
        <w:t xml:space="preserve">For queries regarding this Invoice, please contact our billing department in Dhaka at billing@apexstrategicbd.com or call +880-2-988-4521 (Mon–Fri, 9:00 AM – 6:00 PM Bangladesh Standard Time).</w:t>
      </w:r>
    </w:p>
    <w:p>
      <w:pPr>
        <w:pStyle w:val="FirstParagraph"/>
      </w:pPr>
      <w:r>
        <w:rPr>
          <w:bCs/>
          <w:b/>
        </w:rPr>
        <w:t xml:space="preserve">Authorized Signatory:</w:t>
      </w:r>
    </w:p>
    <w:p>
      <w:pPr>
        <w:pStyle w:val="BodyText"/>
      </w:pPr>
      <w:r>
        <w:t xml:space="preserve">______________________________</w:t>
      </w:r>
    </w:p>
    <w:p>
      <w:pPr>
        <w:pStyle w:val="BodyText"/>
      </w:pPr>
      <w:r>
        <w:rPr>
          <w:bCs/>
          <w:b/>
        </w:rPr>
        <w:t xml:space="preserve">Dr. Farhana Akhter</w:t>
      </w:r>
      <w:r>
        <w:br/>
      </w:r>
      <w:r>
        <w:t xml:space="preserve">Managing Partner &amp; Lead Business Consultant</w:t>
      </w:r>
      <w:r>
        <w:br/>
      </w:r>
      <w:r>
        <w:t xml:space="preserve">Apex Strategic Advisory Ltd., Dhaka, Bangladesh</w:t>
      </w:r>
      <w:r>
        <w:br/>
      </w:r>
      <w:r>
        <w:t xml:space="preserve">License No: BCS-2019-0042 (Bangladesh Institute of Management Consultants)</w:t>
      </w:r>
    </w:p>
    <w:bookmarkEnd w:id="24"/>
    <w:p>
      <w:pPr>
        <w:pStyle w:val="BodyText"/>
      </w:pPr>
      <w:r>
        <w:t xml:space="preserve">Apex Strategic Advisory Ltd. | Business Consultant Services | Bangladesh Dhaka</w:t>
      </w:r>
    </w:p>
    <w:p>
      <w:pPr>
        <w:pStyle w:val="BodyText"/>
      </w:pPr>
      <w:r>
        <w:t xml:space="preserve">House 42, Road 11, Banani, Dhaka-1213, Bangladesh | Reg. No: C-123456 (Dhaka District Registrar)</w:t>
      </w:r>
    </w:p>
    <w:p>
      <w:pPr>
        <w:pStyle w:val="BodyText"/>
      </w:pPr>
      <w:r>
        <w:t xml:space="preserve">This is a computer-generated Invoice and does not require a physical signature. Valid under Bangladesh Electronic Transactions Act 2006.</w:t>
      </w:r>
    </w:p>
    <w:p>
      <w:pPr>
        <w:pStyle w:val="BodyText"/>
      </w:pPr>
      <w:r>
        <w:t xml:space="preserve">Page 1 of 1 | Generated on: 15 June 2025 | Invoice Reference: ASB-2025-00472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Bangladesh Dhaka</dc:title>
  <dc:creator/>
  <dc:language>en</dc:language>
  <cp:keywords/>
  <dcterms:created xsi:type="dcterms:W3CDTF">2026-10-10T07:37:07Z</dcterms:created>
  <dcterms:modified xsi:type="dcterms:W3CDTF">2026-10-10T07:37:07Z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