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strategic-advisory-partners-bv"/>
    <w:p>
      <w:pPr>
        <w:pStyle w:val="Heading1"/>
      </w:pPr>
      <w:r>
        <w:t xml:space="preserve">Strategic Advisory Partners BV</w:t>
      </w:r>
    </w:p>
    <w:p>
      <w:pPr>
        <w:pStyle w:val="FirstParagraph"/>
      </w:pPr>
      <w:r>
        <w:t xml:space="preserve">Business Consultant &amp; Management Advisory Firm</w:t>
      </w:r>
    </w:p>
    <w:p>
      <w:pPr>
        <w:pStyle w:val="BodyText"/>
      </w:pPr>
      <w:r>
        <w:t xml:space="preserve">Av. Louise 245, 1050 Brussels, Belgium</w:t>
      </w:r>
    </w:p>
    <w:p>
      <w:pPr>
        <w:pStyle w:val="BodyText"/>
      </w:pPr>
      <w:r>
        <w:t xml:space="preserve">VAT No.: BE 0765.432.109</w:t>
      </w:r>
    </w:p>
    <w:p>
      <w:pPr>
        <w:pStyle w:val="BodyText"/>
      </w:pPr>
      <w:r>
        <w:t xml:space="preserve">IBAN: BE68 5390 0754 7034</w:t>
      </w:r>
    </w:p>
    <w:p>
      <w:pPr>
        <w:pStyle w:val="BodyText"/>
      </w:pPr>
      <w:r>
        <w:t xml:space="preserve">BCE / RLE: Brussels 0765.432.109</w:t>
      </w:r>
    </w:p>
    <w:p>
      <w:pPr>
        <w:pStyle w:val="BodyText"/>
      </w:pPr>
      <w:r>
        <w:t xml:space="preserve">Phone: +32 2 555 0142 | Email: billing@strategicadvisory.be</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Reference:</w:t>
      </w:r>
      <w:r>
        <w:t xml:space="preserve"> </w:t>
      </w:r>
      <w:r>
        <w:t xml:space="preserve">BCP-2025-BRU-0312</w:t>
      </w:r>
    </w:p>
    <w:bookmarkEnd w:id="21"/>
    <w:bookmarkStart w:id="22" w:name="bill-to-client"/>
    <w:p>
      <w:pPr>
        <w:pStyle w:val="Heading3"/>
      </w:pPr>
      <w:r>
        <w:t xml:space="preserve">Bill To (Client)</w:t>
      </w:r>
    </w:p>
    <w:p>
      <w:pPr>
        <w:pStyle w:val="FirstParagraph"/>
      </w:pPr>
      <w:r>
        <w:rPr>
          <w:bCs/>
          <w:b/>
        </w:rPr>
        <w:t xml:space="preserve">Meridian Logistics NV</w:t>
      </w:r>
    </w:p>
    <w:p>
      <w:pPr>
        <w:pStyle w:val="BodyText"/>
      </w:pPr>
      <w:r>
        <w:t xml:space="preserve">Attn: Mr. Johan Vermeulen, CEO</w:t>
      </w:r>
    </w:p>
    <w:p>
      <w:pPr>
        <w:pStyle w:val="BodyText"/>
      </w:pPr>
      <w:r>
        <w:t xml:space="preserve">Rue de la Loi 180, 1000 Brussels, Belgium</w:t>
      </w:r>
    </w:p>
    <w:p>
      <w:pPr>
        <w:pStyle w:val="BodyText"/>
      </w:pPr>
      <w:r>
        <w:t xml:space="preserve">VAT No.: BE 0812.556.778</w:t>
      </w:r>
    </w:p>
    <w:p>
      <w:pPr>
        <w:pStyle w:val="BodyText"/>
      </w:pPr>
      <w:r>
        <w:t xml:space="preserve">BCE / RLE: Brussels 0812.556.778</w:t>
      </w:r>
    </w:p>
    <w:bookmarkEnd w:id="22"/>
    <w:bookmarkStart w:id="23" w:name="service-provider"/>
    <w:p>
      <w:pPr>
        <w:pStyle w:val="Heading3"/>
      </w:pPr>
      <w:r>
        <w:t xml:space="preserve">Service Provider</w:t>
      </w:r>
    </w:p>
    <w:p>
      <w:pPr>
        <w:pStyle w:val="FirstParagraph"/>
      </w:pPr>
      <w:r>
        <w:rPr>
          <w:bCs/>
          <w:b/>
        </w:rPr>
        <w:t xml:space="preserve">Strategic Advisory Partners BV</w:t>
      </w:r>
    </w:p>
    <w:p>
      <w:pPr>
        <w:pStyle w:val="BodyText"/>
      </w:pPr>
      <w:r>
        <w:t xml:space="preserve">Business Consultant – Senior Engagement Team</w:t>
      </w:r>
    </w:p>
    <w:p>
      <w:pPr>
        <w:pStyle w:val="BodyText"/>
      </w:pPr>
      <w:r>
        <w:t xml:space="preserve">Av. Louise 245, 1050 Brussels, Belgium</w:t>
      </w:r>
    </w:p>
    <w:p>
      <w:pPr>
        <w:pStyle w:val="BodyText"/>
      </w:pPr>
      <w:r>
        <w:t xml:space="preserve">VAT No.: BE 0765.432.109</w:t>
      </w:r>
    </w:p>
    <w:p>
      <w:pPr>
        <w:pStyle w:val="BodyText"/>
      </w:pPr>
      <w:r>
        <w:t xml:space="preserve">BCE / RLE: Brussels 0765.432.109</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Business Consultant Services</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Strategic Business Planning &amp; Operational Restructuring – Comprehensive assessment of Meridian Logistics NV supply chain operations in Belgium Brussels, including process mapping, bottleneck identification, and a 12-month strategic roadmap aligned with EU regulatory frameworks.</w:t>
            </w:r>
          </w:p>
        </w:tc>
        <w:tc>
          <w:tcPr/>
          <w:p>
            <w:pPr>
              <w:pStyle w:val="Compact"/>
              <w:jc w:val="left"/>
            </w:pPr>
            <w:r>
              <w:t xml:space="preserve">Jan – Mar 2025</w:t>
            </w:r>
          </w:p>
        </w:tc>
        <w:tc>
          <w:tcPr/>
          <w:p>
            <w:pPr>
              <w:pStyle w:val="Compact"/>
              <w:jc w:val="left"/>
            </w:pPr>
            <w:r>
              <w:t xml:space="preserve">120</w:t>
            </w:r>
          </w:p>
        </w:tc>
        <w:tc>
          <w:tcPr/>
          <w:p>
            <w:pPr>
              <w:pStyle w:val="Compact"/>
              <w:jc w:val="left"/>
            </w:pPr>
            <w:r>
              <w:t xml:space="preserve">€145.00</w:t>
            </w:r>
          </w:p>
        </w:tc>
        <w:tc>
          <w:tcPr/>
          <w:p>
            <w:pPr>
              <w:pStyle w:val="Compact"/>
              <w:jc w:val="left"/>
            </w:pPr>
            <w:r>
              <w:t xml:space="preserve">€17,400.00</w:t>
            </w:r>
          </w:p>
        </w:tc>
      </w:tr>
      <w:tr>
        <w:tc>
          <w:tcPr/>
          <w:p>
            <w:pPr>
              <w:pStyle w:val="Compact"/>
              <w:jc w:val="left"/>
            </w:pPr>
            <w:r>
              <w:t xml:space="preserve">2</w:t>
            </w:r>
          </w:p>
        </w:tc>
        <w:tc>
          <w:tcPr/>
          <w:p>
            <w:pPr>
              <w:pStyle w:val="Compact"/>
              <w:jc w:val="left"/>
            </w:pPr>
            <w:r>
              <w:t xml:space="preserve">Financial Performance Analysis &amp; Cost Optimisation – Detailed review of P&amp;L statements, cash flow projections, and working capital management. Includes benchmarking against industry peers operating in the Belgium Brussels metropolitan region.</w:t>
            </w:r>
          </w:p>
        </w:tc>
        <w:tc>
          <w:tcPr/>
          <w:p>
            <w:pPr>
              <w:pStyle w:val="Compact"/>
              <w:jc w:val="left"/>
            </w:pPr>
            <w:r>
              <w:t xml:space="preserve">Apr 2025</w:t>
            </w:r>
          </w:p>
        </w:tc>
        <w:tc>
          <w:tcPr/>
          <w:p>
            <w:pPr>
              <w:pStyle w:val="Compact"/>
              <w:jc w:val="left"/>
            </w:pPr>
            <w:r>
              <w:t xml:space="preserve">60</w:t>
            </w:r>
          </w:p>
        </w:tc>
        <w:tc>
          <w:tcPr/>
          <w:p>
            <w:pPr>
              <w:pStyle w:val="Compact"/>
              <w:jc w:val="left"/>
            </w:pPr>
            <w:r>
              <w:t xml:space="preserve">€145.00</w:t>
            </w:r>
          </w:p>
        </w:tc>
        <w:tc>
          <w:tcPr/>
          <w:p>
            <w:pPr>
              <w:pStyle w:val="Compact"/>
              <w:jc w:val="left"/>
            </w:pPr>
            <w:r>
              <w:t xml:space="preserve">€8,700.00</w:t>
            </w:r>
          </w:p>
        </w:tc>
      </w:tr>
      <w:tr>
        <w:tc>
          <w:tcPr/>
          <w:p>
            <w:pPr>
              <w:pStyle w:val="Compact"/>
              <w:jc w:val="left"/>
            </w:pPr>
            <w:r>
              <w:t xml:space="preserve">3</w:t>
            </w:r>
          </w:p>
        </w:tc>
        <w:tc>
          <w:tcPr/>
          <w:p>
            <w:pPr>
              <w:pStyle w:val="Compact"/>
              <w:jc w:val="left"/>
            </w:pPr>
            <w:r>
              <w:t xml:space="preserve">Organisational Change Management &amp; Leadership Coaching – Facilitation of executive workshops, stakeholder alignment sessions, and individual coaching for the C-suite team to support the transition plan developed by the Business Consultant engagement team.</w:t>
            </w:r>
          </w:p>
        </w:tc>
        <w:tc>
          <w:tcPr/>
          <w:p>
            <w:pPr>
              <w:pStyle w:val="Compact"/>
              <w:jc w:val="left"/>
            </w:pPr>
            <w:r>
              <w:t xml:space="preserve">Apr – May 2025</w:t>
            </w:r>
          </w:p>
        </w:tc>
        <w:tc>
          <w:tcPr/>
          <w:p>
            <w:pPr>
              <w:pStyle w:val="Compact"/>
              <w:jc w:val="left"/>
            </w:pPr>
            <w:r>
              <w:t xml:space="preserve">40</w:t>
            </w:r>
          </w:p>
        </w:tc>
        <w:tc>
          <w:tcPr/>
          <w:p>
            <w:pPr>
              <w:pStyle w:val="Compact"/>
              <w:jc w:val="left"/>
            </w:pPr>
            <w:r>
              <w:t xml:space="preserve">€165.00</w:t>
            </w:r>
          </w:p>
        </w:tc>
        <w:tc>
          <w:tcPr/>
          <w:p>
            <w:pPr>
              <w:pStyle w:val="Compact"/>
              <w:jc w:val="left"/>
            </w:pPr>
            <w:r>
              <w:t xml:space="preserve">€6,600.00</w:t>
            </w:r>
          </w:p>
        </w:tc>
      </w:tr>
      <w:tr>
        <w:tc>
          <w:tcPr/>
          <w:p>
            <w:pPr>
              <w:pStyle w:val="Compact"/>
              <w:jc w:val="left"/>
            </w:pPr>
            <w:r>
              <w:t xml:space="preserve">4</w:t>
            </w:r>
          </w:p>
        </w:tc>
        <w:tc>
          <w:tcPr/>
          <w:p>
            <w:pPr>
              <w:pStyle w:val="Compact"/>
              <w:jc w:val="left"/>
            </w:pPr>
            <w:r>
              <w:t xml:space="preserve">Market Entry Feasibility Study – Southern Europe Expansion – Analysis of regulatory, tax, and competitive landscape for potential expansion into Spain and Portugal, with specific consideration of cross-border logistics corridors originating from Belgium Brussels.</w:t>
            </w:r>
          </w:p>
        </w:tc>
        <w:tc>
          <w:tcPr/>
          <w:p>
            <w:pPr>
              <w:pStyle w:val="Compact"/>
              <w:jc w:val="left"/>
            </w:pPr>
            <w:r>
              <w:t xml:space="preserve">May – Jun 2025</w:t>
            </w:r>
          </w:p>
        </w:tc>
        <w:tc>
          <w:tcPr/>
          <w:p>
            <w:pPr>
              <w:pStyle w:val="Compact"/>
              <w:jc w:val="left"/>
            </w:pPr>
            <w:r>
              <w:t xml:space="preserve">50</w:t>
            </w:r>
          </w:p>
        </w:tc>
        <w:tc>
          <w:tcPr/>
          <w:p>
            <w:pPr>
              <w:pStyle w:val="Compact"/>
              <w:jc w:val="left"/>
            </w:pPr>
            <w:r>
              <w:t xml:space="preserve">€145.00</w:t>
            </w:r>
          </w:p>
        </w:tc>
        <w:tc>
          <w:tcPr/>
          <w:p>
            <w:pPr>
              <w:pStyle w:val="Compact"/>
              <w:jc w:val="left"/>
            </w:pPr>
            <w:r>
              <w:t xml:space="preserve">€7,250.00</w:t>
            </w:r>
          </w:p>
        </w:tc>
      </w:tr>
      <w:tr>
        <w:tc>
          <w:tcPr/>
          <w:p>
            <w:pPr>
              <w:pStyle w:val="Compact"/>
              <w:jc w:val="left"/>
            </w:pPr>
            <w:r>
              <w:t xml:space="preserve">5</w:t>
            </w:r>
          </w:p>
        </w:tc>
        <w:tc>
          <w:tcPr/>
          <w:p>
            <w:pPr>
              <w:pStyle w:val="Compact"/>
              <w:jc w:val="left"/>
            </w:pPr>
            <w:r>
              <w:t xml:space="preserve">Final Report, Presentation &amp; Handover – Compilation of all deliverables, executive summary presentation to the Board of Directors, and structured knowledge transfer to internal teams. Includes a 30-day post-engagement support window.</w:t>
            </w:r>
          </w:p>
        </w:tc>
        <w:tc>
          <w:tcPr/>
          <w:p>
            <w:pPr>
              <w:pStyle w:val="Compact"/>
              <w:jc w:val="left"/>
            </w:pPr>
            <w:r>
              <w:t xml:space="preserve">Jun 2025</w:t>
            </w:r>
          </w:p>
        </w:tc>
        <w:tc>
          <w:tcPr/>
          <w:p>
            <w:pPr>
              <w:pStyle w:val="Compact"/>
              <w:jc w:val="left"/>
            </w:pPr>
            <w:r>
              <w:t xml:space="preserve">16</w:t>
            </w:r>
          </w:p>
        </w:tc>
        <w:tc>
          <w:tcPr/>
          <w:p>
            <w:pPr>
              <w:pStyle w:val="Compact"/>
              <w:jc w:val="left"/>
            </w:pPr>
            <w:r>
              <w:t xml:space="preserve">€145.00</w:t>
            </w:r>
          </w:p>
        </w:tc>
        <w:tc>
          <w:tcPr/>
          <w:p>
            <w:pPr>
              <w:pStyle w:val="Compact"/>
              <w:jc w:val="left"/>
            </w:pPr>
            <w:r>
              <w:t xml:space="preserve">€2,320.00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€42,270.00</w:t>
            </w:r>
          </w:p>
        </w:tc>
      </w:tr>
      <w:tr>
        <w:tc>
          <w:tcPr/>
          <w:p>
            <w:pPr>
              <w:pStyle w:val="Compact"/>
              <w:jc w:val="left"/>
            </w:pPr>
            <w:r>
              <w:t xml:space="preserve">VAT (21% – Belgium Standard Rate)</w:t>
            </w:r>
          </w:p>
        </w:tc>
        <w:tc>
          <w:tcPr/>
          <w:p>
            <w:pPr>
              <w:pStyle w:val="Compact"/>
              <w:jc w:val="right"/>
            </w:pPr>
            <w:r>
              <w:t xml:space="preserve">€8,876.70</w:t>
            </w:r>
          </w:p>
        </w:tc>
      </w:tr>
      <w:tr>
        <w:tc>
          <w:tcPr/>
          <w:p>
            <w:pPr>
              <w:pStyle w:val="Compact"/>
              <w:jc w:val="left"/>
            </w:pPr>
            <w:r>
              <w:t xml:space="preserve">Total Amount Due</w:t>
            </w:r>
          </w:p>
        </w:tc>
        <w:tc>
          <w:tcPr/>
          <w:p>
            <w:pPr>
              <w:pStyle w:val="Compact"/>
              <w:jc w:val="right"/>
            </w:pPr>
            <w:r>
              <w:t xml:space="preserve">€51,146.70</w:t>
            </w:r>
          </w:p>
        </w:tc>
      </w:tr>
    </w:tbl>
    <w:bookmarkStart w:id="24" w:name="payment-instructions"/>
    <w:p>
      <w:pPr>
        <w:pStyle w:val="Heading3"/>
      </w:pPr>
      <w:r>
        <w:t xml:space="preserve">Payment Instructions</w:t>
      </w:r>
    </w:p>
    <w:p>
      <w:pPr>
        <w:pStyle w:val="FirstParagraph"/>
      </w:pPr>
      <w:r>
        <w:t xml:space="preserve">This Invoice must be settled in full within 30 calendar days of the issue date, no later than</w:t>
      </w:r>
      <w:r>
        <w:t xml:space="preserve"> </w:t>
      </w:r>
      <w:r>
        <w:rPr>
          <w:bCs/>
          <w:b/>
        </w:rPr>
        <w:t xml:space="preserve">15 July 2025</w:t>
      </w:r>
      <w:r>
        <w:t xml:space="preserve">. Please reference Invoice number</w:t>
      </w:r>
      <w:r>
        <w:t xml:space="preserve"> </w:t>
      </w:r>
      <w:r>
        <w:rPr>
          <w:bCs/>
          <w:b/>
        </w:rPr>
        <w:t xml:space="preserve">INV-2025-0047</w:t>
      </w:r>
      <w:r>
        <w:t xml:space="preserve"> </w:t>
      </w:r>
      <w:r>
        <w:t xml:space="preserve">on all correspondence and bank transfers.</w:t>
      </w:r>
    </w:p>
    <w:p>
      <w:pPr>
        <w:numPr>
          <w:ilvl w:val="0"/>
          <w:numId w:val="1001"/>
        </w:numPr>
        <w:pStyle w:val="Compact"/>
      </w:pPr>
      <w:r>
        <w:rPr>
          <w:bCs/>
          <w:b/>
        </w:rPr>
        <w:t xml:space="preserve">Bank:</w:t>
      </w:r>
      <w:r>
        <w:t xml:space="preserve"> </w:t>
      </w:r>
      <w:r>
        <w:t xml:space="preserve">KBC Bank N.V., Brussels Branch</w:t>
      </w:r>
    </w:p>
    <w:p>
      <w:pPr>
        <w:numPr>
          <w:ilvl w:val="0"/>
          <w:numId w:val="1001"/>
        </w:numPr>
        <w:pStyle w:val="Compact"/>
      </w:pPr>
      <w:r>
        <w:rPr>
          <w:bCs/>
          <w:b/>
        </w:rPr>
        <w:t xml:space="preserve">IBAN:</w:t>
      </w:r>
      <w:r>
        <w:t xml:space="preserve"> </w:t>
      </w:r>
      <w:r>
        <w:t xml:space="preserve">BE68 5390 0754 7034</w:t>
      </w:r>
    </w:p>
    <w:p>
      <w:pPr>
        <w:numPr>
          <w:ilvl w:val="0"/>
          <w:numId w:val="1001"/>
        </w:numPr>
        <w:pStyle w:val="Compact"/>
      </w:pPr>
      <w:r>
        <w:rPr>
          <w:bCs/>
          <w:b/>
        </w:rPr>
        <w:t xml:space="preserve">BIC/SWIFT:</w:t>
      </w:r>
      <w:r>
        <w:t xml:space="preserve"> </w:t>
      </w:r>
      <w:r>
        <w:t xml:space="preserve">KREDBEBB</w:t>
      </w:r>
    </w:p>
    <w:p>
      <w:pPr>
        <w:numPr>
          <w:ilvl w:val="0"/>
          <w:numId w:val="1001"/>
        </w:numPr>
        <w:pStyle w:val="Compact"/>
      </w:pPr>
      <w:r>
        <w:rPr>
          <w:bCs/>
          <w:b/>
        </w:rPr>
        <w:t xml:space="preserve">Payment Method:</w:t>
      </w:r>
      <w:r>
        <w:t xml:space="preserve"> </w:t>
      </w:r>
      <w:r>
        <w:t xml:space="preserve">SEPA Credit Transfer (EUR only)</w:t>
      </w:r>
    </w:p>
    <w:p>
      <w:pPr>
        <w:numPr>
          <w:ilvl w:val="0"/>
          <w:numId w:val="1001"/>
        </w:numPr>
        <w:pStyle w:val="Compact"/>
      </w:pPr>
      <w:r>
        <w:rPr>
          <w:bCs/>
          <w:b/>
        </w:rPr>
        <w:t xml:space="preserve">Reference:</w:t>
      </w:r>
      <w:r>
        <w:t xml:space="preserve"> </w:t>
      </w:r>
      <w:r>
        <w:t xml:space="preserve">INV-2025-0047 / BCP-2025-BRU-0312</w:t>
      </w:r>
    </w:p>
    <w:p>
      <w:pPr>
        <w:pStyle w:val="FirstParagraph"/>
      </w:pPr>
      <w:r>
        <w:t xml:space="preserve">Late payments are subject to a statutory interest rate of 10% per annum in accordance with Belgian law (Royal Decree of 16 February 2013 on late payment in commercial transactions). Additionally, a fixed indemnity of €40 per overdue Invoice applies as per Belgian consumer and commercial code provisions.</w:t>
      </w:r>
    </w:p>
    <w:bookmarkEnd w:id="24"/>
    <w:bookmarkStart w:id="25" w:name="terms-conditions-legal-notes"/>
    <w:p>
      <w:pPr>
        <w:pStyle w:val="Heading3"/>
      </w:pPr>
      <w:r>
        <w:t xml:space="preserve">Terms, Conditions &amp; Legal Notes</w:t>
      </w:r>
    </w:p>
    <w:p>
      <w:pPr>
        <w:numPr>
          <w:ilvl w:val="0"/>
          <w:numId w:val="1002"/>
        </w:numPr>
        <w:pStyle w:val="Compact"/>
      </w:pPr>
      <w:r>
        <w:t xml:space="preserve">This Invoice is issued by Strategic Advisory Partners BV, a limited liability company (besloten vennootschap) registered in Belgium Brussels under the BCE number 0765.432.109, and is governed by the laws of the Kingdom of Belgium.</w:t>
      </w:r>
    </w:p>
    <w:p>
      <w:pPr>
        <w:numPr>
          <w:ilvl w:val="0"/>
          <w:numId w:val="1002"/>
        </w:numPr>
        <w:pStyle w:val="Compact"/>
      </w:pPr>
      <w:r>
        <w:t xml:space="preserve">All Business Consultant services described herein were performed in accordance with the Master Services Agreement (MSA) dated 02 January 2025, Reference BCP-2025-BRU-0312, between the parties. In the event of any discrepancy between this Invoice and the MSA, the terms of the MSA shall prevail.</w:t>
      </w:r>
    </w:p>
    <w:p>
      <w:pPr>
        <w:numPr>
          <w:ilvl w:val="0"/>
          <w:numId w:val="1002"/>
        </w:numPr>
        <w:pStyle w:val="Compact"/>
      </w:pPr>
      <w:r>
        <w:t xml:space="preserve">The Business Consultant engagement was conducted in full compliance with the Belgian Code of Economic Law, the professional code of conduct of the Belgian Association of Management Consultants (VVMC/ABCM), and applicable EU data protection regulations (GDPR 2016/679).</w:t>
      </w:r>
    </w:p>
    <w:p>
      <w:pPr>
        <w:numPr>
          <w:ilvl w:val="0"/>
          <w:numId w:val="1002"/>
        </w:numPr>
        <w:pStyle w:val="Compact"/>
      </w:pPr>
      <w:r>
        <w:t xml:space="preserve">All intellectual property rights in the deliverables, reports, and strategic documents produced by the Business Consultant team during this engagement are transferred to Meridian Logistics NV upon full and final payment of this Invoice, subject to the licence-back provisions in Article 14 of the MSA.</w:t>
      </w:r>
    </w:p>
    <w:p>
      <w:pPr>
        <w:numPr>
          <w:ilvl w:val="0"/>
          <w:numId w:val="1002"/>
        </w:numPr>
        <w:pStyle w:val="Compact"/>
      </w:pPr>
      <w:r>
        <w:t xml:space="preserve">This Invoice constitutes a valid tax document under Belgian VAT legislation (Code TVA, Book I, Title I). The VAT amount of €8,876.70 is calculated at the standard Belgian rate of 21% applicable to professional consulting services rendered in Belgium Brussels.</w:t>
      </w:r>
    </w:p>
    <w:p>
      <w:pPr>
        <w:numPr>
          <w:ilvl w:val="0"/>
          <w:numId w:val="1002"/>
        </w:numPr>
        <w:pStyle w:val="Compact"/>
      </w:pPr>
      <w:r>
        <w:t xml:space="preserve">Any disputes arising from this Invoice or the underlying services shall be submitted to the exclusive jurisdiction of the Commercial Court of Brussels, Belgium. The parties agree that the language of this Invoice and all related correspondence shall be English, with French as the secondary language for any legal proceedings.</w:t>
      </w:r>
    </w:p>
    <w:p>
      <w:pPr>
        <w:numPr>
          <w:ilvl w:val="0"/>
          <w:numId w:val="1002"/>
        </w:numPr>
        <w:pStyle w:val="Compact"/>
      </w:pPr>
      <w:r>
        <w:t xml:space="preserve">Strategic Advisory Partners BV maintains professional indemnity insurance with AXA Belgium (Policy No. AXA-BE-2025-88431) covering a minimum of €5,000,000 per claim, in compliance with the requirements for Business Consultant firms operating in Belgium Brussels.</w:t>
      </w:r>
    </w:p>
    <w:p>
      <w:pPr>
        <w:numPr>
          <w:ilvl w:val="0"/>
          <w:numId w:val="1002"/>
        </w:numPr>
        <w:pStyle w:val="Compact"/>
      </w:pPr>
      <w:r>
        <w:t xml:space="preserve">Please direct any queries regarding this Invoice to the billing department at billing@strategicadvisory.be or by telephone at +32 2 555 0142, Monday to Friday, 09:00–17:30 CET.</w:t>
      </w:r>
    </w:p>
    <w:bookmarkEnd w:id="25"/>
    <w:p>
      <w:pPr>
        <w:pStyle w:val="FirstParagraph"/>
      </w:pPr>
      <w:r>
        <w:t xml:space="preserve">Strategic Advisory Partners BV – Business Consultant Firm – Av. Louise 245, 1050 Brussels, Belgium</w:t>
      </w:r>
    </w:p>
    <w:p>
      <w:pPr>
        <w:pStyle w:val="BodyText"/>
      </w:pPr>
      <w:r>
        <w:t xml:space="preserve">VAT: BE 0765.432.109 | BCE/RLE Brussels: 0765.432.109 | This Invoice was generated electronically and is valid without a physical signature.</w:t>
      </w:r>
    </w:p>
    <w:p>
      <w:pPr>
        <w:pStyle w:val="BodyText"/>
      </w:pPr>
      <w:r>
        <w:t xml:space="preserve">Page 1 of 1 | Invoice INV-2025-0047 | Issued in Belgium Brussels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Business Consultant Services - Belgium Brussels</dc:title>
  <dc:creator/>
  <dc:language>en</dc:language>
  <cp:keywords/>
  <dcterms:created xsi:type="dcterms:W3CDTF">2026-10-10T02:01:46Z</dcterms:created>
  <dcterms:modified xsi:type="dcterms:W3CDTF">2026-10-10T02:01:46Z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