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X06814b0412f343a7126eb1419a07f859ccac2d5"/>
    <w:p>
      <w:pPr>
        <w:pStyle w:val="Heading1"/>
      </w:pPr>
      <w:r>
        <w:t xml:space="preserve">Beijing Strategic Advisory Group Co., Ltd.</w:t>
      </w:r>
    </w:p>
    <w:p>
      <w:pPr>
        <w:pStyle w:val="FirstParagraph"/>
      </w:pPr>
      <w:r>
        <w:t xml:space="preserve">No. 88 Financial Street, Xicheng District</w:t>
      </w:r>
    </w:p>
    <w:p>
      <w:pPr>
        <w:pStyle w:val="BodyText"/>
      </w:pPr>
      <w:r>
        <w:t xml:space="preserve">Beijing, 100033, People's Republic of China</w:t>
      </w:r>
    </w:p>
    <w:p>
      <w:pPr>
        <w:pStyle w:val="BodyText"/>
      </w:pPr>
      <w:r>
        <w:t xml:space="preserve">Tel: +86-10-8888-6600 | Email: billing@bsag-beijing.cn</w:t>
      </w:r>
    </w:p>
    <w:p>
      <w:pPr>
        <w:pStyle w:val="BodyText"/>
      </w:pPr>
      <w:r>
        <w:t xml:space="preserve">Unified Social Credit Code: 91110102MA01XK7B3F</w:t>
      </w:r>
    </w:p>
    <w:p>
      <w:pPr>
        <w:pStyle w:val="BodyText"/>
      </w:pPr>
      <w:r>
        <w:t xml:space="preserve">VAT Registration No.: 110102MA01XK7B3F</w:t>
      </w:r>
    </w:p>
    <w:bookmarkEnd w:id="20"/>
    <w:bookmarkStart w:id="21" w:name="invoice"/>
    <w:p>
      <w:pPr>
        <w:pStyle w:val="Heading2"/>
      </w:pPr>
      <w:r>
        <w:t xml:space="preserve">INVOICE</w:t>
      </w:r>
    </w:p>
    <w:p>
      <w:pPr>
        <w:pStyle w:val="FirstParagraph"/>
      </w:pPr>
      <w:r>
        <w:t xml:space="preserve">Invoice No.: BSAG-2025-04187</w:t>
      </w:r>
    </w:p>
    <w:p>
      <w:pPr>
        <w:pStyle w:val="BodyText"/>
      </w:pPr>
      <w:r>
        <w:t xml:space="preserve">Date of Issue: 15 June 2025</w:t>
      </w:r>
    </w:p>
    <w:p>
      <w:pPr>
        <w:pStyle w:val="BodyText"/>
      </w:pPr>
      <w:r>
        <w:t xml:space="preserve">Due Date: 15 July 2025</w:t>
      </w:r>
    </w:p>
    <w:p>
      <w:pPr>
        <w:pStyle w:val="BodyText"/>
      </w:pPr>
      <w:r>
        <w:t xml:space="preserve">CHINA BEIJING</w:t>
      </w:r>
    </w:p>
    <w:bookmarkEnd w:id="21"/>
    <w:bookmarkStart w:id="22" w:name="bill-to-client"/>
    <w:p>
      <w:pPr>
        <w:pStyle w:val="Heading3"/>
      </w:pPr>
      <w:r>
        <w:t xml:space="preserve">Bill To (Client)</w:t>
      </w:r>
    </w:p>
    <w:p>
      <w:pPr>
        <w:pStyle w:val="FirstParagraph"/>
      </w:pPr>
      <w:r>
        <w:rPr>
          <w:bCs/>
          <w:b/>
        </w:rPr>
        <w:t xml:space="preserve">Shanghai Horizon Manufacturing Ltd.</w:t>
      </w:r>
    </w:p>
    <w:p>
      <w:pPr>
        <w:pStyle w:val="BodyText"/>
      </w:pPr>
      <w:r>
        <w:t xml:space="preserve">Attn: Mr. Zhang Wei, Chief Financial Officer</w:t>
      </w:r>
    </w:p>
    <w:p>
      <w:pPr>
        <w:pStyle w:val="BodyText"/>
      </w:pPr>
      <w:r>
        <w:t xml:space="preserve">No. 1200 Pudong Avenue, Pudong New District</w:t>
      </w:r>
    </w:p>
    <w:p>
      <w:pPr>
        <w:pStyle w:val="BodyText"/>
      </w:pPr>
      <w:r>
        <w:t xml:space="preserve">Shanghai, 200120, China</w:t>
      </w:r>
    </w:p>
    <w:p>
      <w:pPr>
        <w:pStyle w:val="BodyText"/>
      </w:pPr>
      <w:r>
        <w:t xml:space="preserve">Tax ID: 91310115MA1K4R2T8N</w:t>
      </w:r>
    </w:p>
    <w:bookmarkEnd w:id="22"/>
    <w:bookmarkStart w:id="23" w:name="service-provider"/>
    <w:p>
      <w:pPr>
        <w:pStyle w:val="Heading3"/>
      </w:pPr>
      <w:r>
        <w:t xml:space="preserve">Service Provider</w:t>
      </w:r>
    </w:p>
    <w:p>
      <w:pPr>
        <w:pStyle w:val="FirstParagraph"/>
      </w:pPr>
      <w:r>
        <w:rPr>
          <w:bCs/>
          <w:b/>
        </w:rPr>
        <w:t xml:space="preserve">Dr. Li Minghua, Senior Business Consultant</w:t>
      </w:r>
    </w:p>
    <w:p>
      <w:pPr>
        <w:pStyle w:val="BodyText"/>
      </w:pPr>
      <w:r>
        <w:t xml:space="preserve">Beijing Strategic Advisory Group Co., Ltd.</w:t>
      </w:r>
    </w:p>
    <w:p>
      <w:pPr>
        <w:pStyle w:val="BodyText"/>
      </w:pPr>
      <w:r>
        <w:t xml:space="preserve">Professional License: CN-BC-2019-004521</w:t>
      </w:r>
    </w:p>
    <w:p>
      <w:pPr>
        <w:pStyle w:val="BodyText"/>
      </w:pPr>
      <w:r>
        <w:t xml:space="preserve">Specialization: Corporate Strategy &amp; Market Entry</w:t>
      </w:r>
    </w:p>
    <w:p>
      <w:pPr>
        <w:pStyle w:val="BodyText"/>
      </w:pPr>
      <w:r>
        <w:t xml:space="preserve">Office: China Beijing, Xicheng District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Business Consulting Services</w:t>
            </w:r>
          </w:p>
        </w:tc>
        <w:tc>
          <w:tcPr/>
          <w:p>
            <w:pPr>
              <w:pStyle w:val="Compact"/>
              <w:jc w:val="left"/>
            </w:pPr>
            <w:r>
              <w:t xml:space="preserve">Period</w:t>
            </w:r>
          </w:p>
        </w:tc>
        <w:tc>
          <w:tcPr/>
          <w:p>
            <w:pPr>
              <w:pStyle w:val="Compact"/>
              <w:jc w:val="left"/>
            </w:pPr>
            <w:r>
              <w:t xml:space="preserve">Rate (CNY)</w:t>
            </w:r>
          </w:p>
        </w:tc>
        <w:tc>
          <w:tcPr/>
          <w:p>
            <w:pPr>
              <w:pStyle w:val="Compact"/>
              <w:jc w:val="left"/>
            </w:pPr>
            <w:r>
              <w:t xml:space="preserve">Hours</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Comprehensive market entry strategy development for the client's expansion into the China Beijing metropolitan region, including regulatory analysis, competitor benchmarking, and stakeholder mapping.</w:t>
            </w:r>
          </w:p>
        </w:tc>
        <w:tc>
          <w:tcPr/>
          <w:p>
            <w:pPr>
              <w:pStyle w:val="Compact"/>
              <w:jc w:val="left"/>
            </w:pPr>
            <w:r>
              <w:t xml:space="preserve">Jan – Mar 2025</w:t>
            </w:r>
          </w:p>
        </w:tc>
        <w:tc>
          <w:tcPr/>
          <w:p>
            <w:pPr>
              <w:pStyle w:val="Compact"/>
              <w:jc w:val="left"/>
            </w:pPr>
            <w:r>
              <w:t xml:space="preserve">¥2,800</w:t>
            </w:r>
          </w:p>
        </w:tc>
        <w:tc>
          <w:tcPr/>
          <w:p>
            <w:pPr>
              <w:pStyle w:val="Compact"/>
              <w:jc w:val="left"/>
            </w:pPr>
            <w:r>
              <w:t xml:space="preserve">48</w:t>
            </w:r>
          </w:p>
        </w:tc>
        <w:tc>
          <w:tcPr/>
          <w:p>
            <w:pPr>
              <w:pStyle w:val="Compact"/>
              <w:jc w:val="left"/>
            </w:pPr>
            <w:r>
              <w:t xml:space="preserve">¥134,400.00</w:t>
            </w:r>
          </w:p>
        </w:tc>
      </w:tr>
      <w:tr>
        <w:tc>
          <w:tcPr/>
          <w:p>
            <w:pPr>
              <w:pStyle w:val="Compact"/>
              <w:jc w:val="left"/>
            </w:pPr>
            <w:r>
              <w:t xml:space="preserve">02</w:t>
            </w:r>
          </w:p>
        </w:tc>
        <w:tc>
          <w:tcPr/>
          <w:p>
            <w:pPr>
              <w:pStyle w:val="Compact"/>
              <w:jc w:val="left"/>
            </w:pPr>
            <w:r>
              <w:t xml:space="preserve">Operational efficiency audit and process re-engineering consultation. The Business Consultant conducted on-site assessments at the client's Shanghai facility and delivered a 120-page optimization roadmap.</w:t>
            </w:r>
          </w:p>
        </w:tc>
        <w:tc>
          <w:tcPr/>
          <w:p>
            <w:pPr>
              <w:pStyle w:val="Compact"/>
              <w:jc w:val="left"/>
            </w:pPr>
            <w:r>
              <w:t xml:space="preserve">Feb – Apr 2025</w:t>
            </w:r>
          </w:p>
        </w:tc>
        <w:tc>
          <w:tcPr/>
          <w:p>
            <w:pPr>
              <w:pStyle w:val="Compact"/>
              <w:jc w:val="left"/>
            </w:pPr>
            <w:r>
              <w:t xml:space="preserve">¥3,200</w:t>
            </w:r>
          </w:p>
        </w:tc>
        <w:tc>
          <w:tcPr/>
          <w:p>
            <w:pPr>
              <w:pStyle w:val="Compact"/>
              <w:jc w:val="left"/>
            </w:pPr>
            <w:r>
              <w:t xml:space="preserve">64</w:t>
            </w:r>
          </w:p>
        </w:tc>
        <w:tc>
          <w:tcPr/>
          <w:p>
            <w:pPr>
              <w:pStyle w:val="Compact"/>
              <w:jc w:val="left"/>
            </w:pPr>
            <w:r>
              <w:t xml:space="preserve">¥204,800.00</w:t>
            </w:r>
          </w:p>
        </w:tc>
      </w:tr>
      <w:tr>
        <w:tc>
          <w:tcPr/>
          <w:p>
            <w:pPr>
              <w:pStyle w:val="Compact"/>
              <w:jc w:val="left"/>
            </w:pPr>
            <w:r>
              <w:t xml:space="preserve">03</w:t>
            </w:r>
          </w:p>
        </w:tc>
        <w:tc>
          <w:tcPr/>
          <w:p>
            <w:pPr>
              <w:pStyle w:val="Compact"/>
              <w:jc w:val="left"/>
            </w:pPr>
            <w:r>
              <w:t xml:space="preserve">Executive leadership coaching and board advisory sessions. The Business Consultant facilitated six closed-door strategy workshops with the client's C-suite in China Beijing and Shanghai.</w:t>
            </w:r>
          </w:p>
        </w:tc>
        <w:tc>
          <w:tcPr/>
          <w:p>
            <w:pPr>
              <w:pStyle w:val="Compact"/>
              <w:jc w:val="left"/>
            </w:pPr>
            <w:r>
              <w:t xml:space="preserve">Mar – May 2025</w:t>
            </w:r>
          </w:p>
        </w:tc>
        <w:tc>
          <w:tcPr/>
          <w:p>
            <w:pPr>
              <w:pStyle w:val="Compact"/>
              <w:jc w:val="left"/>
            </w:pPr>
            <w:r>
              <w:t xml:space="preserve">¥4,500</w:t>
            </w:r>
          </w:p>
        </w:tc>
        <w:tc>
          <w:tcPr/>
          <w:p>
            <w:pPr>
              <w:pStyle w:val="Compact"/>
              <w:jc w:val="left"/>
            </w:pPr>
            <w:r>
              <w:t xml:space="preserve">36</w:t>
            </w:r>
          </w:p>
        </w:tc>
        <w:tc>
          <w:tcPr/>
          <w:p>
            <w:pPr>
              <w:pStyle w:val="Compact"/>
              <w:jc w:val="left"/>
            </w:pPr>
            <w:r>
              <w:t xml:space="preserve">¥162,000.00</w:t>
            </w:r>
          </w:p>
        </w:tc>
      </w:tr>
      <w:tr>
        <w:tc>
          <w:tcPr/>
          <w:p>
            <w:pPr>
              <w:pStyle w:val="Compact"/>
              <w:jc w:val="left"/>
            </w:pPr>
            <w:r>
              <w:t xml:space="preserve">04</w:t>
            </w:r>
          </w:p>
        </w:tc>
        <w:tc>
          <w:tcPr/>
          <w:p>
            <w:pPr>
              <w:pStyle w:val="Compact"/>
              <w:jc w:val="left"/>
            </w:pPr>
            <w:r>
              <w:t xml:space="preserve">Digital transformation feasibility study and technology vendor evaluation. Includes preparation of a formal report aligned with China's 14th Five-Year Plan digital economy directives.</w:t>
            </w:r>
          </w:p>
        </w:tc>
        <w:tc>
          <w:tcPr/>
          <w:p>
            <w:pPr>
              <w:pStyle w:val="Compact"/>
              <w:jc w:val="left"/>
            </w:pPr>
            <w:r>
              <w:t xml:space="preserve">Apr – Jun 2025</w:t>
            </w:r>
          </w:p>
        </w:tc>
        <w:tc>
          <w:tcPr/>
          <w:p>
            <w:pPr>
              <w:pStyle w:val="Compact"/>
              <w:jc w:val="left"/>
            </w:pPr>
            <w:r>
              <w:t xml:space="preserve">¥3,000</w:t>
            </w:r>
          </w:p>
        </w:tc>
        <w:tc>
          <w:tcPr/>
          <w:p>
            <w:pPr>
              <w:pStyle w:val="Compact"/>
              <w:jc w:val="left"/>
            </w:pPr>
            <w:r>
              <w:t xml:space="preserve">52</w:t>
            </w:r>
          </w:p>
        </w:tc>
        <w:tc>
          <w:tcPr/>
          <w:p>
            <w:pPr>
              <w:pStyle w:val="Compact"/>
              <w:jc w:val="left"/>
            </w:pPr>
            <w:r>
              <w:t xml:space="preserve">¥156,000.00</w:t>
            </w:r>
          </w:p>
        </w:tc>
      </w:tr>
      <w:tr>
        <w:tc>
          <w:tcPr/>
          <w:p>
            <w:pPr>
              <w:pStyle w:val="Compact"/>
              <w:jc w:val="left"/>
            </w:pPr>
            <w:r>
              <w:t xml:space="preserve">05</w:t>
            </w:r>
          </w:p>
        </w:tc>
        <w:tc>
          <w:tcPr/>
          <w:p>
            <w:pPr>
              <w:pStyle w:val="Compact"/>
              <w:jc w:val="left"/>
            </w:pPr>
            <w:r>
              <w:t xml:space="preserve">Quarterly performance review and KPI dashboard implementation support. Ongoing advisory retainer for the Business Consultant to monitor progress against the strategic plan established in Q1.</w:t>
            </w:r>
          </w:p>
        </w:tc>
        <w:tc>
          <w:tcPr/>
          <w:p>
            <w:pPr>
              <w:pStyle w:val="Compact"/>
              <w:jc w:val="left"/>
            </w:pPr>
            <w:r>
              <w:t xml:space="preserve">Jun 2025</w:t>
            </w:r>
          </w:p>
        </w:tc>
        <w:tc>
          <w:tcPr/>
          <w:p>
            <w:pPr>
              <w:pStyle w:val="Compact"/>
              <w:jc w:val="left"/>
            </w:pPr>
            <w:r>
              <w:t xml:space="preserve">¥2,500</w:t>
            </w:r>
          </w:p>
        </w:tc>
        <w:tc>
          <w:tcPr/>
          <w:p>
            <w:pPr>
              <w:pStyle w:val="Compact"/>
              <w:jc w:val="left"/>
            </w:pPr>
            <w:r>
              <w:t xml:space="preserve">20</w:t>
            </w:r>
          </w:p>
        </w:tc>
        <w:tc>
          <w:tcPr/>
          <w:p>
            <w:pPr>
              <w:pStyle w:val="Compact"/>
              <w:jc w:val="left"/>
            </w:pPr>
            <w:r>
              <w:t xml:space="preserve">¥50,000.00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¥707,200.00</w:t>
            </w:r>
          </w:p>
        </w:tc>
      </w:tr>
      <w:tr>
        <w:tc>
          <w:tcPr/>
          <w:p>
            <w:pPr>
              <w:pStyle w:val="Compact"/>
              <w:jc w:val="left"/>
            </w:pPr>
            <w:r>
              <w:t xml:space="preserve">VAT (13% – Business Consulting Services)</w:t>
            </w:r>
          </w:p>
        </w:tc>
        <w:tc>
          <w:tcPr/>
          <w:p>
            <w:pPr>
              <w:pStyle w:val="Compact"/>
              <w:jc w:val="right"/>
            </w:pPr>
            <w:r>
              <w:t xml:space="preserve">¥91,936.00</w:t>
            </w:r>
          </w:p>
        </w:tc>
      </w:tr>
      <w:tr>
        <w:tc>
          <w:tcPr/>
          <w:p>
            <w:pPr>
              <w:pStyle w:val="Compact"/>
              <w:jc w:val="left"/>
            </w:pPr>
            <w:r>
              <w:t xml:space="preserve">Travel &amp; Accommodation (Beijing–Shanghai, 4 trips)</w:t>
            </w:r>
          </w:p>
        </w:tc>
        <w:tc>
          <w:tcPr/>
          <w:p>
            <w:pPr>
              <w:pStyle w:val="Compact"/>
              <w:jc w:val="right"/>
            </w:pPr>
            <w:r>
              <w:t xml:space="preserve">¥18,600.00</w:t>
            </w:r>
          </w:p>
        </w:tc>
      </w:tr>
      <w:tr>
        <w:tc>
          <w:tcPr/>
          <w:p>
            <w:pPr>
              <w:pStyle w:val="Compact"/>
              <w:jc w:val="left"/>
            </w:pPr>
            <w:r>
              <w:t xml:space="preserve">Document Translation &amp; Certification (CN/EN)</w:t>
            </w:r>
          </w:p>
        </w:tc>
        <w:tc>
          <w:tcPr/>
          <w:p>
            <w:pPr>
              <w:pStyle w:val="Compact"/>
              <w:jc w:val="right"/>
            </w:pPr>
            <w:r>
              <w:t xml:space="preserve">¥7,200.00</w:t>
            </w:r>
          </w:p>
        </w:tc>
      </w:tr>
      <w:tr>
        <w:tc>
          <w:tcPr/>
          <w:p>
            <w:pPr>
              <w:pStyle w:val="Compact"/>
              <w:jc w:val="left"/>
            </w:pPr>
            <w:r>
              <w:t xml:space="preserve">TOTAL AMOUNT DUE</w:t>
            </w:r>
          </w:p>
        </w:tc>
        <w:tc>
          <w:tcPr/>
          <w:p>
            <w:pPr>
              <w:pStyle w:val="Compact"/>
              <w:jc w:val="right"/>
            </w:pPr>
            <w:r>
              <w:t xml:space="preserve">¥824,936.00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Industrial and Commercial Bank of China (ICBC), Beijing Financial Street Branch</w:t>
      </w:r>
    </w:p>
    <w:p>
      <w:pPr>
        <w:pStyle w:val="BodyText"/>
      </w:pPr>
      <w:r>
        <w:rPr>
          <w:bCs/>
          <w:b/>
        </w:rPr>
        <w:t xml:space="preserve">Account Name:</w:t>
      </w:r>
      <w:r>
        <w:t xml:space="preserve"> </w:t>
      </w:r>
      <w:r>
        <w:t xml:space="preserve">Beijing Strategic Advisory Group Co., Ltd.</w:t>
      </w:r>
    </w:p>
    <w:p>
      <w:pPr>
        <w:pStyle w:val="BodyText"/>
      </w:pPr>
      <w:r>
        <w:rPr>
          <w:bCs/>
          <w:b/>
        </w:rPr>
        <w:t xml:space="preserve">Account Number:</w:t>
      </w:r>
      <w:r>
        <w:t xml:space="preserve"> </w:t>
      </w:r>
      <w:r>
        <w:t xml:space="preserve">0200 0045 0920 0188 734</w:t>
      </w:r>
    </w:p>
    <w:p>
      <w:pPr>
        <w:pStyle w:val="BodyText"/>
      </w:pPr>
      <w:r>
        <w:rPr>
          <w:bCs/>
          <w:b/>
        </w:rPr>
        <w:t xml:space="preserve">SWIFT Code:</w:t>
      </w:r>
      <w:r>
        <w:t xml:space="preserve"> </w:t>
      </w:r>
      <w:r>
        <w:t xml:space="preserve">ICBKCNBJ</w:t>
      </w:r>
    </w:p>
    <w:p>
      <w:pPr>
        <w:pStyle w:val="BodyText"/>
      </w:pPr>
      <w:r>
        <w:rPr>
          <w:bCs/>
          <w:b/>
        </w:rPr>
        <w:t xml:space="preserve">Reference:</w:t>
      </w:r>
      <w:r>
        <w:t xml:space="preserve"> </w:t>
      </w:r>
      <w:r>
        <w:t xml:space="preserve">Invoice No. BSAG-2025-04187</w:t>
      </w:r>
    </w:p>
    <w:p>
      <w:pPr>
        <w:pStyle w:val="BodyText"/>
      </w:pPr>
      <w:r>
        <w:rPr>
          <w:bCs/>
          <w:b/>
        </w:rPr>
        <w:t xml:space="preserve">Payment Method:</w:t>
      </w:r>
      <w:r>
        <w:t xml:space="preserve"> </w:t>
      </w:r>
      <w:r>
        <w:t xml:space="preserve">Bank Transfer (RMB / CNY) – Domestic Wire</w:t>
      </w:r>
    </w:p>
    <w:p>
      <w:pPr>
        <w:pStyle w:val="BodyText"/>
      </w:pPr>
      <w:r>
        <w:rPr>
          <w:bCs/>
          <w:b/>
        </w:rPr>
        <w:t xml:space="preserve">Terms:</w:t>
      </w:r>
      <w:r>
        <w:t xml:space="preserve"> </w:t>
      </w:r>
      <w:r>
        <w:t xml:space="preserve">Net 30 days from the date of this Invoice. Late payments shall accrue interest at 0.05% per calendar day as stipulated under the PRC Civil Code, Article 676.</w:t>
      </w:r>
    </w:p>
    <w:bookmarkEnd w:id="24"/>
    <w:bookmarkStart w:id="25" w:name="important-notes-terms"/>
    <w:p>
      <w:pPr>
        <w:pStyle w:val="Heading3"/>
      </w:pPr>
      <w:r>
        <w:t xml:space="preserve">Important Notes &amp; Terms</w:t>
      </w:r>
    </w:p>
    <w:p>
      <w:pPr>
        <w:numPr>
          <w:ilvl w:val="0"/>
          <w:numId w:val="1001"/>
        </w:numPr>
        <w:pStyle w:val="Compact"/>
      </w:pPr>
      <w:r>
        <w:t xml:space="preserve">This Invoice is issued in accordance with the "Measures for the Administration of Invoices of the People's Republic of China" (State Taxation Administration Order No. 48) and applicable regulations of the Beijing Municipal Tax Bureau.</w:t>
      </w:r>
    </w:p>
    <w:p>
      <w:pPr>
        <w:numPr>
          <w:ilvl w:val="0"/>
          <w:numId w:val="1001"/>
        </w:numPr>
        <w:pStyle w:val="Compact"/>
      </w:pPr>
      <w:r>
        <w:t xml:space="preserve">The Business Consultant, Dr. Li Minghua, is a licensed professional registered with the China Association of Management Consultants (CAMC). All services rendered comply with the CAMC Code of Professional Conduct.</w:t>
      </w:r>
    </w:p>
    <w:p>
      <w:pPr>
        <w:numPr>
          <w:ilvl w:val="0"/>
          <w:numId w:val="1001"/>
        </w:numPr>
        <w:pStyle w:val="Compact"/>
      </w:pPr>
      <w:r>
        <w:t xml:space="preserve">All deliverables produced under this engagement are the intellectual property of Beijing Strategic Advisory Group Co., Ltd. and remain confidential to the client as defined in the Master Services Agreement dated 05 January 2025.</w:t>
      </w:r>
    </w:p>
    <w:p>
      <w:pPr>
        <w:numPr>
          <w:ilvl w:val="0"/>
          <w:numId w:val="1001"/>
        </w:numPr>
        <w:pStyle w:val="Compact"/>
      </w:pPr>
      <w:r>
        <w:t xml:space="preserve">This Invoice covers services performed within the jurisdiction of China Beijing and the Shanghai municipality. Any additional on-site visits outside these regions will be invoiced separately.</w:t>
      </w:r>
    </w:p>
    <w:p>
      <w:pPr>
        <w:numPr>
          <w:ilvl w:val="0"/>
          <w:numId w:val="1001"/>
        </w:numPr>
        <w:pStyle w:val="Compact"/>
      </w:pPr>
      <w:r>
        <w:t xml:space="preserve">The client acknowledges receipt of this Invoice and agrees that payment is due no later than 15 July 2025. Failure to remit payment by the due date may result in suspension of ongoing advisory services.</w:t>
      </w:r>
    </w:p>
    <w:p>
      <w:pPr>
        <w:numPr>
          <w:ilvl w:val="0"/>
          <w:numId w:val="1001"/>
        </w:numPr>
        <w:pStyle w:val="Compact"/>
      </w:pPr>
      <w:r>
        <w:t xml:space="preserve">A duplicate copy of this Invoice may be requested in writing. The original stamped Invoice (fapiao) will be provided upon full settlement of the outstanding balance.</w:t>
      </w:r>
    </w:p>
    <w:bookmarkEnd w:id="25"/>
    <w:p>
      <w:pPr>
        <w:pStyle w:val="FirstParagraph"/>
      </w:pPr>
      <w:r>
        <w:rPr>
          <w:bCs/>
          <w:b/>
        </w:rPr>
        <w:t xml:space="preserve">Prepared By:</w:t>
      </w:r>
      <w:r>
        <w:br/>
      </w:r>
      <w:r>
        <w:t xml:space="preserve">Dr. Li Minghua</w:t>
      </w:r>
      <w:r>
        <w:br/>
      </w:r>
      <w:r>
        <w:t xml:space="preserve">Senior Business Consultant</w:t>
      </w:r>
      <w:r>
        <w:br/>
      </w:r>
      <w:r>
        <w:t xml:space="preserve">Beijing Strategic Advisory Group</w:t>
      </w:r>
    </w:p>
    <w:p>
      <w:pPr>
        <w:pStyle w:val="BodyText"/>
      </w:pPr>
      <w:r>
        <w:rPr>
          <w:bCs/>
          <w:b/>
        </w:rPr>
        <w:t xml:space="preserve">Authorized Signatory:</w:t>
      </w:r>
      <w:r>
        <w:br/>
      </w:r>
      <w:r>
        <w:t xml:space="preserve">Ms. Wang Fang</w:t>
      </w:r>
      <w:r>
        <w:br/>
      </w:r>
      <w:r>
        <w:t xml:space="preserve">Finance Director</w:t>
      </w:r>
      <w:r>
        <w:br/>
      </w:r>
      <w:r>
        <w:t xml:space="preserve">Beijing Strategic Advisory Group</w:t>
      </w:r>
    </w:p>
    <w:p>
      <w:pPr>
        <w:pStyle w:val="BodyText"/>
      </w:pPr>
      <w:r>
        <w:rPr>
          <w:bCs/>
          <w:b/>
        </w:rPr>
        <w:t xml:space="preserve">Beijing Strategic Advisory Group Co., Ltd.</w:t>
      </w:r>
      <w:r>
        <w:t xml:space="preserve"> </w:t>
      </w:r>
      <w:r>
        <w:t xml:space="preserve">| No. 88 Financial Street, Xicheng District, Beijing 100033, China</w:t>
      </w:r>
    </w:p>
    <w:p>
      <w:pPr>
        <w:pStyle w:val="BodyText"/>
      </w:pPr>
      <w:r>
        <w:t xml:space="preserve">Registered with the Beijing Municipal Market Supervision Administration | Unified Social Credit Code: 91110102MA01XK7B3F</w:t>
      </w:r>
    </w:p>
    <w:p>
      <w:pPr>
        <w:pStyle w:val="BodyText"/>
      </w:pPr>
      <w:r>
        <w:t xml:space="preserve">This Invoice was generated electronically and is valid without a physical seal in accordance with the PRC Electronic Signature Law (2019 Amendment).</w:t>
      </w:r>
    </w:p>
    <w:p>
      <w:pPr>
        <w:pStyle w:val="BodyText"/>
      </w:pPr>
      <w:r>
        <w:t xml:space="preserve">For queries regarding this Invoice, please contact our billing department at billing@bsag-beijing.cn or +86-10-8888-6600 (Mon–Fri, 09:00–17:30 CST).</w:t>
      </w:r>
    </w:p>
    <w:p>
      <w:pPr>
        <w:pStyle w:val="BodyText"/>
      </w:pPr>
      <w:r>
        <w:t xml:space="preserve">© 2025 Beijing Strategic Advisory Group Co., Ltd. All rights reserved. | Invoice BSAG-2025-04187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Business Consultant Services - China Beijing</dc:title>
  <dc:creator/>
  <dc:language>en</dc:language>
  <cp:keywords/>
  <dcterms:created xsi:type="dcterms:W3CDTF">2026-10-10T02:01:16Z</dcterms:created>
  <dcterms:modified xsi:type="dcterms:W3CDTF">2026-10-10T02:01:16Z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