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andes-strategic-advisory-s.a.s."/>
    <w:p>
      <w:pPr>
        <w:pStyle w:val="Heading1"/>
      </w:pPr>
      <w:r>
        <w:t xml:space="preserve">Andes Strategic Advisory S.A.S.</w:t>
      </w:r>
    </w:p>
    <w:p>
      <w:pPr>
        <w:pStyle w:val="FirstParagraph"/>
      </w:pPr>
      <w:r>
        <w:t xml:space="preserve">Business Consultant &amp; Management Solutions</w:t>
      </w:r>
    </w:p>
    <w:p>
      <w:pPr>
        <w:pStyle w:val="BodyText"/>
      </w:pPr>
      <w:r>
        <w:t xml:space="preserve">Calle 43A # 52-180, Of. 904</w:t>
      </w:r>
    </w:p>
    <w:p>
      <w:pPr>
        <w:pStyle w:val="BodyText"/>
      </w:pPr>
      <w:r>
        <w:t xml:space="preserve">El Poblado, Medellín, Antioquia</w:t>
      </w:r>
    </w:p>
    <w:p>
      <w:pPr>
        <w:pStyle w:val="BodyText"/>
      </w:pPr>
      <w:r>
        <w:t xml:space="preserve">Colombia Medellín – NIT: 901.234.567-8</w:t>
      </w:r>
    </w:p>
    <w:p>
      <w:pPr>
        <w:pStyle w:val="BodyText"/>
      </w:pPr>
      <w:r>
        <w:t xml:space="preserve">Tel: +57 (604) 445 6789 | Email: billing@andesstrategic.co</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INV-2025-00487</w:t>
      </w:r>
    </w:p>
    <w:p>
      <w:pPr>
        <w:pStyle w:val="BodyText"/>
      </w:pPr>
      <w:r>
        <w:t xml:space="preserve">Issue Date: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Grupo Empresarial del Valle S.A.S.</w:t>
      </w:r>
    </w:p>
    <w:p>
      <w:pPr>
        <w:pStyle w:val="BodyText"/>
      </w:pPr>
      <w:r>
        <w:t xml:space="preserve">Attn: María Fernanda Restrepo, CFO</w:t>
      </w:r>
    </w:p>
    <w:p>
      <w:pPr>
        <w:pStyle w:val="BodyText"/>
      </w:pPr>
      <w:r>
        <w:t xml:space="preserve">Carrera 45 # 25-30, Torre B, Piso 12</w:t>
      </w:r>
    </w:p>
    <w:p>
      <w:pPr>
        <w:pStyle w:val="BodyText"/>
      </w:pPr>
      <w:r>
        <w:t xml:space="preserve">Medellín, Antioquia, Colombia</w:t>
      </w:r>
    </w:p>
    <w:p>
      <w:pPr>
        <w:pStyle w:val="BodyText"/>
      </w:pPr>
      <w:r>
        <w:t xml:space="preserve">NIT: 830.456.789-1</w:t>
      </w:r>
    </w:p>
    <w:bookmarkEnd w:id="22"/>
    <w:bookmarkStart w:id="23" w:name="project-reference"/>
    <w:p>
      <w:pPr>
        <w:pStyle w:val="Heading3"/>
      </w:pPr>
      <w:r>
        <w:t xml:space="preserve">Project Reference</w:t>
      </w:r>
    </w:p>
    <w:p>
      <w:pPr>
        <w:pStyle w:val="FirstParagraph"/>
      </w:pPr>
      <w:r>
        <w:t xml:space="preserve">Engagement: Q2 2025 Strategic Review</w:t>
      </w:r>
    </w:p>
    <w:p>
      <w:pPr>
        <w:pStyle w:val="BodyText"/>
      </w:pPr>
      <w:r>
        <w:t xml:space="preserve">Contract No: CSA-2025-0112</w:t>
      </w:r>
    </w:p>
    <w:p>
      <w:pPr>
        <w:pStyle w:val="BodyText"/>
      </w:pPr>
      <w:r>
        <w:t xml:space="preserve">Business Consultant: Dr. Alejandro Vargas M.</w:t>
      </w:r>
    </w:p>
    <w:p>
      <w:pPr>
        <w:pStyle w:val="BodyText"/>
      </w:pPr>
      <w:r>
        <w:t xml:space="preserve">Specialization: Organizational Transformation</w:t>
      </w:r>
    </w:p>
    <w:bookmarkEnd w:id="23"/>
    <w:bookmarkStart w:id="24" w:name="payment-method"/>
    <w:p>
      <w:pPr>
        <w:pStyle w:val="Heading3"/>
      </w:pPr>
      <w:r>
        <w:t xml:space="preserve">Payment Method</w:t>
      </w:r>
    </w:p>
    <w:p>
      <w:pPr>
        <w:pStyle w:val="FirstParagraph"/>
      </w:pPr>
      <w:r>
        <w:t xml:space="preserve">Bank Transfer (Nequi / Bancolombia)</w:t>
      </w:r>
    </w:p>
    <w:p>
      <w:pPr>
        <w:pStyle w:val="BodyText"/>
      </w:pPr>
      <w:r>
        <w:t xml:space="preserve">Account: 452-1234-56-78</w:t>
      </w:r>
    </w:p>
    <w:p>
      <w:pPr>
        <w:pStyle w:val="BodyText"/>
      </w:pPr>
      <w:r>
        <w:t xml:space="preserve">Bank: Bancolombia S.A.</w:t>
      </w:r>
    </w:p>
    <w:p>
      <w:pPr>
        <w:pStyle w:val="BodyText"/>
      </w:pPr>
      <w:r>
        <w:t xml:space="preserve">Branch: Medellín – El Poblado</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Initial diagnostic assessment and organizational audit conducted at the client's headquarters in Colombia Medellín. The Business Consultant performed a comprehensive review of operational workflows, departmental alignment, and leadership effectiveness across all business units.</w:t>
            </w:r>
          </w:p>
        </w:tc>
        <w:tc>
          <w:tcPr/>
          <w:p>
            <w:pPr>
              <w:pStyle w:val="Compact"/>
              <w:jc w:val="left"/>
            </w:pPr>
            <w:r>
              <w:t xml:space="preserve">May 05 – 09, 2025</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Strategic planning workshop and executive briefing session. The Business Consultant facilitated a two-day intensive workshop with the C-suite leadership team to define the 2025–2027 strategic roadmap, including market positioning analysis for the Antioquia region and national expansion opportunities.</w:t>
            </w:r>
          </w:p>
        </w:tc>
        <w:tc>
          <w:tcPr/>
          <w:p>
            <w:pPr>
              <w:pStyle w:val="Compact"/>
              <w:jc w:val="left"/>
            </w:pPr>
            <w:r>
              <w:t xml:space="preserve">May 19 – 20, 2025</w:t>
            </w:r>
          </w:p>
        </w:tc>
        <w:tc>
          <w:tcPr/>
          <w:p>
            <w:pPr>
              <w:pStyle w:val="Compact"/>
              <w:jc w:val="left"/>
            </w:pPr>
            <w:r>
              <w:t xml:space="preserve">16</w:t>
            </w:r>
          </w:p>
        </w:tc>
        <w:tc>
          <w:tcPr/>
          <w:p>
            <w:pPr>
              <w:pStyle w:val="Compact"/>
              <w:jc w:val="left"/>
            </w:pPr>
            <w:r>
              <w:t xml:space="preserve">$220,000</w:t>
            </w:r>
          </w:p>
        </w:tc>
        <w:tc>
          <w:tcPr/>
          <w:p>
            <w:pPr>
              <w:pStyle w:val="Compact"/>
              <w:jc w:val="left"/>
            </w:pPr>
            <w:r>
              <w:t xml:space="preserve">$3,520,000</w:t>
            </w:r>
          </w:p>
        </w:tc>
      </w:tr>
      <w:tr>
        <w:tc>
          <w:tcPr/>
          <w:p>
            <w:pPr>
              <w:pStyle w:val="Compact"/>
              <w:jc w:val="left"/>
            </w:pPr>
            <w:r>
              <w:t xml:space="preserve">3</w:t>
            </w:r>
          </w:p>
        </w:tc>
        <w:tc>
          <w:tcPr/>
          <w:p>
            <w:pPr>
              <w:pStyle w:val="Compact"/>
              <w:jc w:val="left"/>
            </w:pPr>
            <w:r>
              <w:t xml:space="preserve">Process reengineering and operational efficiency consulting. Detailed analysis of supply chain logistics, procurement procedures, and internal communication protocols. The Business Consultant delivered a 45-page action plan with KPIs and implementation timelines tailored to the client's infrastructure in Colombia Medellín.</w:t>
            </w:r>
          </w:p>
        </w:tc>
        <w:tc>
          <w:tcPr/>
          <w:p>
            <w:pPr>
              <w:pStyle w:val="Compact"/>
              <w:jc w:val="left"/>
            </w:pPr>
            <w:r>
              <w:t xml:space="preserve">May 22 – 30, 2025</w:t>
            </w:r>
          </w:p>
        </w:tc>
        <w:tc>
          <w:tcPr/>
          <w:p>
            <w:pPr>
              <w:pStyle w:val="Compact"/>
              <w:jc w:val="left"/>
            </w:pPr>
            <w:r>
              <w:t xml:space="preserve">56</w:t>
            </w:r>
          </w:p>
        </w:tc>
        <w:tc>
          <w:tcPr/>
          <w:p>
            <w:pPr>
              <w:pStyle w:val="Compact"/>
              <w:jc w:val="left"/>
            </w:pPr>
            <w:r>
              <w:t xml:space="preserve">$185,000</w:t>
            </w:r>
          </w:p>
        </w:tc>
        <w:tc>
          <w:tcPr/>
          <w:p>
            <w:pPr>
              <w:pStyle w:val="Compact"/>
              <w:jc w:val="left"/>
            </w:pPr>
            <w:r>
              <w:t xml:space="preserve">$10,360,000</w:t>
            </w:r>
          </w:p>
        </w:tc>
      </w:tr>
      <w:tr>
        <w:tc>
          <w:tcPr/>
          <w:p>
            <w:pPr>
              <w:pStyle w:val="Compact"/>
              <w:jc w:val="left"/>
            </w:pPr>
            <w:r>
              <w:t xml:space="preserve">4</w:t>
            </w:r>
          </w:p>
        </w:tc>
        <w:tc>
          <w:tcPr/>
          <w:p>
            <w:pPr>
              <w:pStyle w:val="Compact"/>
              <w:jc w:val="left"/>
            </w:pPr>
            <w:r>
              <w:t xml:space="preserve">Change management program design and stakeholder engagement strategy. The Business Consultant developed a structured change management framework to minimize organizational resistance during the transformation phase, including training materials, communication templates, and a 90-day rollout schedule.</w:t>
            </w:r>
          </w:p>
        </w:tc>
        <w:tc>
          <w:tcPr/>
          <w:p>
            <w:pPr>
              <w:pStyle w:val="Compact"/>
              <w:jc w:val="left"/>
            </w:pPr>
            <w:r>
              <w:t xml:space="preserve">June 02 – 06, 2025</w:t>
            </w:r>
          </w:p>
        </w:tc>
        <w:tc>
          <w:tcPr/>
          <w:p>
            <w:pPr>
              <w:pStyle w:val="Compact"/>
              <w:jc w:val="left"/>
            </w:pPr>
            <w:r>
              <w:t xml:space="preserve">32</w:t>
            </w:r>
          </w:p>
        </w:tc>
        <w:tc>
          <w:tcPr/>
          <w:p>
            <w:pPr>
              <w:pStyle w:val="Compact"/>
              <w:jc w:val="left"/>
            </w:pPr>
            <w:r>
              <w:t xml:space="preserve">$200,000</w:t>
            </w:r>
          </w:p>
        </w:tc>
        <w:tc>
          <w:tcPr/>
          <w:p>
            <w:pPr>
              <w:pStyle w:val="Compact"/>
              <w:jc w:val="left"/>
            </w:pPr>
            <w:r>
              <w:t xml:space="preserve">$6,400,000</w:t>
            </w:r>
          </w:p>
        </w:tc>
      </w:tr>
      <w:tr>
        <w:tc>
          <w:tcPr/>
          <w:p>
            <w:pPr>
              <w:pStyle w:val="Compact"/>
              <w:jc w:val="left"/>
            </w:pPr>
            <w:r>
              <w:t xml:space="preserve">5</w:t>
            </w:r>
          </w:p>
        </w:tc>
        <w:tc>
          <w:tcPr/>
          <w:p>
            <w:pPr>
              <w:pStyle w:val="Compact"/>
              <w:jc w:val="left"/>
            </w:pPr>
            <w:r>
              <w:t xml:space="preserve">Final report delivery, executive presentation, and post-engagement follow-up consultation. The Business Consultant presented the consolidated findings, recommendations, and projected ROI to the board of directors. Included a 30-day post-implementation support window for clarifications and minor adjustments.</w:t>
            </w:r>
          </w:p>
        </w:tc>
        <w:tc>
          <w:tcPr/>
          <w:p>
            <w:pPr>
              <w:pStyle w:val="Compact"/>
              <w:jc w:val="left"/>
            </w:pPr>
            <w:r>
              <w:t xml:space="preserve">June 10 – 13, 2025</w:t>
            </w:r>
          </w:p>
        </w:tc>
        <w:tc>
          <w:tcPr/>
          <w:p>
            <w:pPr>
              <w:pStyle w:val="Compact"/>
              <w:jc w:val="left"/>
            </w:pPr>
            <w:r>
              <w:t xml:space="preserve">20</w:t>
            </w:r>
          </w:p>
        </w:tc>
        <w:tc>
          <w:tcPr/>
          <w:p>
            <w:pPr>
              <w:pStyle w:val="Compact"/>
              <w:jc w:val="left"/>
            </w:pPr>
            <w:r>
              <w:t xml:space="preserve">$220,000</w:t>
            </w:r>
          </w:p>
        </w:tc>
        <w:tc>
          <w:tcPr/>
          <w:p>
            <w:pPr>
              <w:pStyle w:val="Compact"/>
              <w:jc w:val="left"/>
            </w:pPr>
            <w:r>
              <w:t xml:space="preserve">$4,400,000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$32,080,000</w:t>
            </w:r>
          </w:p>
        </w:tc>
      </w:tr>
      <w:tr>
        <w:tc>
          <w:tcPr/>
          <w:p>
            <w:pPr>
              <w:pStyle w:val="Compact"/>
              <w:jc w:val="left"/>
            </w:pPr>
            <w:r>
              <w:t xml:space="preserve">Discount – Early Engagement (5%)</w:t>
            </w:r>
          </w:p>
        </w:tc>
        <w:tc>
          <w:tcPr/>
          <w:p>
            <w:pPr>
              <w:pStyle w:val="Compact"/>
              <w:jc w:val="right"/>
            </w:pPr>
            <w:r>
              <w:t xml:space="preserve">-$1,604,000</w:t>
            </w:r>
          </w:p>
        </w:tc>
      </w:tr>
      <w:tr>
        <w:tc>
          <w:tcPr/>
          <w:p>
            <w:pPr>
              <w:pStyle w:val="Compact"/>
              <w:jc w:val="left"/>
            </w:pPr>
            <w:r>
              <w:t xml:space="preserve">Subtotal after Discount</w:t>
            </w:r>
          </w:p>
        </w:tc>
        <w:tc>
          <w:tcPr/>
          <w:p>
            <w:pPr>
              <w:pStyle w:val="Compact"/>
              <w:jc w:val="right"/>
            </w:pPr>
            <w:r>
              <w:t xml:space="preserve">$30,476,000</w:t>
            </w:r>
          </w:p>
        </w:tc>
      </w:tr>
      <w:tr>
        <w:tc>
          <w:tcPr/>
          <w:p>
            <w:pPr>
              <w:pStyle w:val="Compact"/>
              <w:jc w:val="left"/>
            </w:pPr>
            <w:r>
              <w:t xml:space="preserve">IVA (19% – Colombian Value Added Tax)</w:t>
            </w:r>
          </w:p>
        </w:tc>
        <w:tc>
          <w:tcPr/>
          <w:p>
            <w:pPr>
              <w:pStyle w:val="Compact"/>
              <w:jc w:val="right"/>
            </w:pPr>
            <w:r>
              <w:t xml:space="preserve">$5,790,440</w:t>
            </w:r>
          </w:p>
        </w:tc>
      </w:tr>
      <w:tr>
        <w:tc>
          <w:tcPr/>
          <w:p>
            <w:pPr>
              <w:pStyle w:val="Compact"/>
              <w:jc w:val="left"/>
            </w:pPr>
            <w:r>
              <w:t xml:space="preserve">TOTAL DUE (COP)</w:t>
            </w:r>
          </w:p>
        </w:tc>
        <w:tc>
          <w:tcPr/>
          <w:p>
            <w:pPr>
              <w:pStyle w:val="Compact"/>
              <w:jc w:val="right"/>
            </w:pPr>
            <w:r>
              <w:t xml:space="preserve">$36,266,440</w:t>
            </w:r>
          </w:p>
        </w:tc>
      </w:tr>
    </w:tbl>
    <w:bookmarkStart w:id="25" w:name="important-notes-regarding-this-invoice"/>
    <w:p>
      <w:pPr>
        <w:pStyle w:val="Heading3"/>
      </w:pPr>
      <w:r>
        <w:t xml:space="preserve">Important Notes Regarding This Invoice</w:t>
      </w:r>
    </w:p>
    <w:p>
      <w:pPr>
        <w:pStyle w:val="FirstParagraph"/>
      </w:pPr>
      <w:r>
        <w:t xml:space="preserve">This Invoice is issued in accordance with the commercial regulations of Colombia and the specific terms outlined in Contract No. CSA-2025-0112 between Andes Strategic Advisory S.A.S. and Grupo Empresarial del Valle S.A.S.</w:t>
      </w:r>
    </w:p>
    <w:p>
      <w:pPr>
        <w:pStyle w:val="BodyText"/>
      </w:pPr>
      <w:r>
        <w:t xml:space="preserve">All Business Consultant services described herein were rendered in the city of Colombia Medellín, Antioquia, and comply with the professional standards established by the Colombian Chamber of Commerce and the applicable regulations of the Superintendencia de Industria y Comercio.</w:t>
      </w:r>
    </w:p>
    <w:p>
      <w:pPr>
        <w:pStyle w:val="BodyText"/>
      </w:pPr>
      <w:r>
        <w:t xml:space="preserve">The IVA (Impuesto al Valor Agregado) of 19% has been applied as mandated by the Colombian National Tax Authority (DIAN) for professional consulting services rendered within the national territory.</w:t>
      </w:r>
    </w:p>
    <w:p>
      <w:pPr>
        <w:pStyle w:val="BodyText"/>
      </w:pPr>
      <w:r>
        <w:t xml:space="preserve">Payment is due within thirty (30) calendar days from the issue date of this Invoice. Late payments will be subject to the statutory interest rate established by the Banco de la República de Colombia.</w:t>
      </w:r>
    </w:p>
    <w:bookmarkEnd w:id="25"/>
    <w:bookmarkStart w:id="26" w:name="terms-and-conditions"/>
    <w:p>
      <w:pPr>
        <w:pStyle w:val="Heading3"/>
      </w:pPr>
      <w:r>
        <w:t xml:space="preserve">Terms and Conditions</w:t>
      </w:r>
    </w:p>
    <w:p>
      <w:pPr>
        <w:pStyle w:val="FirstParagraph"/>
      </w:pPr>
      <w:r>
        <w:t xml:space="preserve">1. This Invoice constitutes the final billing for the Business Consultant engagement described above. No additional charges will be incurred unless a formal change order is executed by both parties in writing.</w:t>
      </w:r>
    </w:p>
    <w:p>
      <w:pPr>
        <w:pStyle w:val="BodyText"/>
      </w:pPr>
      <w:r>
        <w:t xml:space="preserve">2. All intellectual property, reports, and deliverables produced by the Business Consultant during this engagement remain the exclusive property of the client upon full settlement of this Invoice.</w:t>
      </w:r>
    </w:p>
    <w:p>
      <w:pPr>
        <w:pStyle w:val="BodyText"/>
      </w:pPr>
      <w:r>
        <w:t xml:space="preserve">3. The Business Consultant agrees to maintain strict confidentiality regarding all proprietary information, financial data, and strategic plans disclosed during the engagement in Colombia Medellín, in compliance with Law 1581 of 2012 (Colombian Data Protection Law).</w:t>
      </w:r>
    </w:p>
    <w:p>
      <w:pPr>
        <w:pStyle w:val="BodyText"/>
      </w:pPr>
      <w:r>
        <w:t xml:space="preserve">4. Disputes arising from this Invoice or the underlying services shall be resolved through the commercial courts of Medellín, Antioquia, Colombia, in accordance with the applicable provisions of the Colombian Commercial Code.</w:t>
      </w:r>
    </w:p>
    <w:p>
      <w:pPr>
        <w:pStyle w:val="BodyText"/>
      </w:pPr>
      <w:r>
        <w:t xml:space="preserve">5. This Invoice is valid for a period of ninety (90) days from the issue date. After this period, the client must request a reissued document from the billing department.</w:t>
      </w:r>
    </w:p>
    <w:bookmarkEnd w:id="26"/>
    <w:p>
      <w:pPr>
        <w:pStyle w:val="BodyText"/>
      </w:pPr>
      <w:r>
        <w:rPr>
          <w:bCs/>
          <w:b/>
        </w:rPr>
        <w:t xml:space="preserve">Andes Strategic Advisory S.A.S.</w:t>
      </w:r>
      <w:r>
        <w:t xml:space="preserve"> </w:t>
      </w:r>
      <w:r>
        <w:t xml:space="preserve">– Business Consultant Firm | Colombia Medellín</w:t>
      </w:r>
    </w:p>
    <w:p>
      <w:pPr>
        <w:pStyle w:val="BodyText"/>
      </w:pPr>
      <w:r>
        <w:t xml:space="preserve">Calle 43A # 52-180, Of. 904, El Poblado, Medellín, Antioquia, Colombia | NIT: 901.234.567-8</w:t>
      </w:r>
    </w:p>
    <w:p>
      <w:pPr>
        <w:pStyle w:val="BodyText"/>
      </w:pPr>
      <w:r>
        <w:t xml:space="preserve">This Invoice was generated electronically and is valid without a physical signature per Resolution 000045 of 2019 (DIAN).</w:t>
      </w:r>
    </w:p>
    <w:p>
      <w:pPr>
        <w:pStyle w:val="BodyText"/>
      </w:pPr>
      <w:r>
        <w:t xml:space="preserve">Thank you for choosing our Business Consultant services in Colombia Medellín.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Colombia Medellín</dc:title>
  <dc:creator/>
  <dc:language>en</dc:language>
  <cp:keywords/>
  <dcterms:created xsi:type="dcterms:W3CDTF">2026-10-10T04:26:07Z</dcterms:created>
  <dcterms:modified xsi:type="dcterms:W3CDTF">2026-10-10T04:26:07Z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