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Egypt</w:t>
      </w:r>
      <w:r>
        <w:t xml:space="preserve"> </w:t>
      </w:r>
      <w:r>
        <w:t xml:space="preserve">Cairo</w:t>
      </w:r>
    </w:p>
    <w:bookmarkStart w:id="20" w:name="nile-strategic-advisory-group"/>
    <w:p>
      <w:pPr>
        <w:pStyle w:val="Heading1"/>
      </w:pPr>
      <w:r>
        <w:t xml:space="preserve">Nile Strategic Advisory Group</w:t>
      </w:r>
    </w:p>
    <w:p>
      <w:pPr>
        <w:pStyle w:val="FirstParagraph"/>
      </w:pPr>
      <w:r>
        <w:t xml:space="preserve">Professional Business Consultant Services</w:t>
      </w:r>
    </w:p>
    <w:p>
      <w:pPr>
        <w:pStyle w:val="BodyText"/>
      </w:pPr>
      <w:r>
        <w:t xml:space="preserve">12th Floor, Cairo Business Tower, Nasr City</w:t>
      </w:r>
    </w:p>
    <w:p>
      <w:pPr>
        <w:pStyle w:val="BodyText"/>
      </w:pPr>
      <w:r>
        <w:t xml:space="preserve">Cairo, Egypt 11341</w:t>
      </w:r>
    </w:p>
    <w:p>
      <w:pPr>
        <w:pStyle w:val="BodyText"/>
      </w:pPr>
      <w:r>
        <w:t xml:space="preserve">Tel: +20 2 2534 8890 | Email: billing@nilestrategic-eg.com</w:t>
      </w:r>
    </w:p>
    <w:p>
      <w:pPr>
        <w:pStyle w:val="BodyText"/>
      </w:pPr>
      <w:r>
        <w:t xml:space="preserve">Tax Registration No. (TRN): 512-483-920-117</w:t>
      </w:r>
    </w:p>
    <w:p>
      <w:pPr>
        <w:pStyle w:val="BodyText"/>
      </w:pPr>
      <w:r>
        <w:t xml:space="preserve">Licensed Business Consultant – Egypt Cairo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NSG-2025-0487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Payment Terms:</w:t>
      </w:r>
      <w:r>
        <w:t xml:space="preserve"> </w:t>
      </w:r>
      <w:r>
        <w:t xml:space="preserve">Net 15 Days</w:t>
      </w:r>
    </w:p>
    <w:bookmarkEnd w:id="21"/>
    <w:bookmarkStart w:id="22" w:name="business-consultant-service-provider"/>
    <w:p>
      <w:pPr>
        <w:pStyle w:val="Heading3"/>
      </w:pPr>
      <w:r>
        <w:t xml:space="preserve">Business Consultant (Service Provider)</w:t>
      </w:r>
    </w:p>
    <w:p>
      <w:pPr>
        <w:pStyle w:val="FirstParagraph"/>
      </w:pPr>
      <w:r>
        <w:rPr>
          <w:bCs/>
          <w:b/>
        </w:rPr>
        <w:t xml:space="preserve">Nile Strategic Advisory Group</w:t>
      </w:r>
    </w:p>
    <w:p>
      <w:pPr>
        <w:pStyle w:val="BodyText"/>
      </w:pPr>
      <w:r>
        <w:t xml:space="preserve">12th Floor, Cairo Business Tower</w:t>
      </w:r>
    </w:p>
    <w:p>
      <w:pPr>
        <w:pStyle w:val="BodyText"/>
      </w:pPr>
      <w:r>
        <w:t xml:space="preserve">Nasr City, Cairo, Egypt 11341</w:t>
      </w:r>
    </w:p>
    <w:p>
      <w:pPr>
        <w:pStyle w:val="BodyText"/>
      </w:pPr>
      <w:r>
        <w:t xml:space="preserve">Commercial Reg. No.: 184-729-335</w:t>
      </w:r>
    </w:p>
    <w:p>
      <w:pPr>
        <w:pStyle w:val="BodyText"/>
      </w:pPr>
      <w:r>
        <w:t xml:space="preserve">VAT Reg. No.: 512-483-920-117</w:t>
      </w:r>
    </w:p>
    <w:p>
      <w:pPr>
        <w:pStyle w:val="BodyText"/>
      </w:pPr>
      <w:r>
        <w:t xml:space="preserve">Bank: National Bank of Egypt</w:t>
      </w:r>
    </w:p>
    <w:p>
      <w:pPr>
        <w:pStyle w:val="BodyText"/>
      </w:pPr>
      <w:r>
        <w:t xml:space="preserve">IBAN: EG38000200015678901234567890</w:t>
      </w:r>
    </w:p>
    <w:p>
      <w:pPr>
        <w:pStyle w:val="BodyText"/>
      </w:pPr>
      <w:r>
        <w:t xml:space="preserve">SWIFT: NBEGEGCA</w:t>
      </w:r>
    </w:p>
    <w:bookmarkEnd w:id="22"/>
    <w:bookmarkStart w:id="23" w:name="client-bill-to"/>
    <w:p>
      <w:pPr>
        <w:pStyle w:val="Heading3"/>
      </w:pPr>
      <w:r>
        <w:t xml:space="preserve">Client (Bill To)</w:t>
      </w:r>
    </w:p>
    <w:p>
      <w:pPr>
        <w:pStyle w:val="FirstParagraph"/>
      </w:pPr>
      <w:r>
        <w:rPr>
          <w:bCs/>
          <w:b/>
        </w:rPr>
        <w:t xml:space="preserve">Delta Manufacturing &amp; Trading Co.</w:t>
      </w:r>
    </w:p>
    <w:p>
      <w:pPr>
        <w:pStyle w:val="BodyText"/>
      </w:pPr>
      <w:r>
        <w:t xml:space="preserve">45 El Tahrir Street, Dokki</w:t>
      </w:r>
    </w:p>
    <w:p>
      <w:pPr>
        <w:pStyle w:val="BodyText"/>
      </w:pPr>
      <w:r>
        <w:t xml:space="preserve">Giza, Egypt 12611</w:t>
      </w:r>
    </w:p>
    <w:p>
      <w:pPr>
        <w:pStyle w:val="BodyText"/>
      </w:pPr>
      <w:r>
        <w:t xml:space="preserve">Attn: Mr. Ahmed Hassan, CFO</w:t>
      </w:r>
    </w:p>
    <w:p>
      <w:pPr>
        <w:pStyle w:val="BodyText"/>
      </w:pPr>
      <w:r>
        <w:t xml:space="preserve">Tel: +20 2 3301 5567</w:t>
      </w:r>
    </w:p>
    <w:p>
      <w:pPr>
        <w:pStyle w:val="BodyText"/>
      </w:pPr>
      <w:r>
        <w:t xml:space="preserve">Email: a.hassan@delta-mfg.com</w:t>
      </w:r>
    </w:p>
    <w:p>
      <w:pPr>
        <w:pStyle w:val="BodyText"/>
      </w:pPr>
      <w:r>
        <w:t xml:space="preserve">Client Reference: DMT-2025-0092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Strategic Business Planning &amp; Market Analysis – Comprehensive assessment of the client's operational framework in the Egypt Cairo metropolitan business district, including competitive landscape review and five-year growth trajectory modeling.</w:t>
            </w:r>
          </w:p>
        </w:tc>
        <w:tc>
          <w:tcPr/>
          <w:p>
            <w:pPr>
              <w:pStyle w:val="Compact"/>
              <w:jc w:val="left"/>
            </w:pPr>
            <w:r>
              <w:t xml:space="preserve">05 May 2025</w:t>
            </w:r>
          </w:p>
        </w:tc>
        <w:tc>
          <w:tcPr/>
          <w:p>
            <w:pPr>
              <w:pStyle w:val="Compact"/>
              <w:jc w:val="left"/>
            </w:pPr>
            <w:r>
              <w:t xml:space="preserve">16</w:t>
            </w:r>
          </w:p>
        </w:tc>
        <w:tc>
          <w:tcPr/>
          <w:p>
            <w:pPr>
              <w:pStyle w:val="Compact"/>
              <w:jc w:val="left"/>
            </w:pPr>
            <w:r>
              <w:t xml:space="preserve">2,500</w:t>
            </w:r>
          </w:p>
        </w:tc>
        <w:tc>
          <w:tcPr/>
          <w:p>
            <w:pPr>
              <w:pStyle w:val="Compact"/>
              <w:jc w:val="left"/>
            </w:pPr>
            <w:r>
              <w:t xml:space="preserve">40,000.00</w:t>
            </w:r>
          </w:p>
        </w:tc>
      </w:tr>
      <w:tr>
        <w:tc>
          <w:tcPr/>
          <w:p>
            <w:pPr>
              <w:pStyle w:val="Compact"/>
              <w:jc w:val="left"/>
            </w:pPr>
            <w:r>
              <w:t xml:space="preserve">2</w:t>
            </w:r>
          </w:p>
        </w:tc>
        <w:tc>
          <w:tcPr/>
          <w:p>
            <w:pPr>
              <w:pStyle w:val="Compact"/>
              <w:jc w:val="left"/>
            </w:pPr>
            <w:r>
              <w:t xml:space="preserve">Organizational Restructuring Advisory – On-site consultation at the client's Giza facility to redesign departmental hierarchies, streamline reporting lines, and implement performance KPIs aligned with Egypt's updated commercial labor regulations.</w:t>
            </w:r>
          </w:p>
        </w:tc>
        <w:tc>
          <w:tcPr/>
          <w:p>
            <w:pPr>
              <w:pStyle w:val="Compact"/>
              <w:jc w:val="left"/>
            </w:pPr>
            <w:r>
              <w:t xml:space="preserve">12 May 2025</w:t>
            </w:r>
          </w:p>
        </w:tc>
        <w:tc>
          <w:tcPr/>
          <w:p>
            <w:pPr>
              <w:pStyle w:val="Compact"/>
              <w:jc w:val="left"/>
            </w:pPr>
            <w:r>
              <w:t xml:space="preserve">24</w:t>
            </w:r>
          </w:p>
        </w:tc>
        <w:tc>
          <w:tcPr/>
          <w:p>
            <w:pPr>
              <w:pStyle w:val="Compact"/>
              <w:jc w:val="left"/>
            </w:pPr>
            <w:r>
              <w:t xml:space="preserve">2,500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Financial Forecasting &amp; Cash Flow Optimization – Development of a twelve-month rolling financial projection incorporating Egyptian pound exchange rate volatility, inflation adjustments, and tax obligation scheduling under the Egyptian Tax Authority guidelines.</w:t>
            </w:r>
          </w:p>
        </w:tc>
        <w:tc>
          <w:tcPr/>
          <w:p>
            <w:pPr>
              <w:pStyle w:val="Compact"/>
              <w:jc w:val="left"/>
            </w:pPr>
            <w:r>
              <w:t xml:space="preserve">19 May 2025</w:t>
            </w:r>
          </w:p>
        </w:tc>
        <w:tc>
          <w:tcPr/>
          <w:p>
            <w:pPr>
              <w:pStyle w:val="Compact"/>
              <w:jc w:val="left"/>
            </w:pPr>
            <w:r>
              <w:t xml:space="preserve">20</w:t>
            </w:r>
          </w:p>
        </w:tc>
        <w:tc>
          <w:tcPr/>
          <w:p>
            <w:pPr>
              <w:pStyle w:val="Compact"/>
              <w:jc w:val="left"/>
            </w:pPr>
            <w:r>
              <w:t xml:space="preserve">2,500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Digital Transformation Roadmap – Design of a phased technology adoption plan for the client's manufacturing operations, including ERP system selection criteria, vendor evaluation matrix, and integration timeline tailored to Egypt Cairo's IT infrastructure landscape.</w:t>
            </w:r>
          </w:p>
        </w:tc>
        <w:tc>
          <w:tcPr/>
          <w:p>
            <w:pPr>
              <w:pStyle w:val="Compact"/>
              <w:jc w:val="left"/>
            </w:pPr>
            <w:r>
              <w:t xml:space="preserve">23 May 2025</w:t>
            </w:r>
          </w:p>
        </w:tc>
        <w:tc>
          <w:tcPr/>
          <w:p>
            <w:pPr>
              <w:pStyle w:val="Compact"/>
              <w:jc w:val="left"/>
            </w:pPr>
            <w:r>
              <w:t xml:space="preserve">18</w:t>
            </w:r>
          </w:p>
        </w:tc>
        <w:tc>
          <w:tcPr/>
          <w:p>
            <w:pPr>
              <w:pStyle w:val="Compact"/>
              <w:jc w:val="left"/>
            </w:pPr>
            <w:r>
              <w:t xml:space="preserve">2,500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Executive Leadership Training Workshop – Two-day intensive program delivered at the client's headquarters covering strategic decision-making, change management, and stakeholder communication for senior management team of twelve participants.</w:t>
            </w:r>
          </w:p>
        </w:tc>
        <w:tc>
          <w:tcPr/>
          <w:p>
            <w:pPr>
              <w:pStyle w:val="Compact"/>
              <w:jc w:val="left"/>
            </w:pPr>
            <w:r>
              <w:t xml:space="preserve">28 May 2025</w:t>
            </w:r>
          </w:p>
        </w:tc>
        <w:tc>
          <w:tcPr/>
          <w:p>
            <w:pPr>
              <w:pStyle w:val="Compact"/>
              <w:jc w:val="left"/>
            </w:pPr>
            <w:r>
              <w:t xml:space="preserve">16</w:t>
            </w:r>
          </w:p>
        </w:tc>
        <w:tc>
          <w:tcPr/>
          <w:p>
            <w:pPr>
              <w:pStyle w:val="Compact"/>
              <w:jc w:val="left"/>
            </w:pPr>
            <w:r>
              <w:t xml:space="preserve">3,000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Regulatory Compliance &amp; Licensing Advisory – Review and update of all business permits, environmental clearances, and trade license renewals required for continued operations under the Egyptian Ministry of Trade and Industry regulations effective Q2 2025.</w:t>
            </w:r>
          </w:p>
        </w:tc>
        <w:tc>
          <w:tcPr/>
          <w:p>
            <w:pPr>
              <w:pStyle w:val="Compact"/>
              <w:jc w:val="left"/>
            </w:pPr>
            <w:r>
              <w:t xml:space="preserve">30 May 2025</w:t>
            </w:r>
          </w:p>
        </w:tc>
        <w:tc>
          <w:tcPr/>
          <w:p>
            <w:pPr>
              <w:pStyle w:val="Compact"/>
              <w:jc w:val="left"/>
            </w:pPr>
            <w:r>
              <w:t xml:space="preserve">10</w:t>
            </w:r>
          </w:p>
        </w:tc>
        <w:tc>
          <w:tcPr/>
          <w:p>
            <w:pPr>
              <w:pStyle w:val="Compact"/>
              <w:jc w:val="left"/>
            </w:pPr>
            <w:r>
              <w:t xml:space="preserve">2,500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268,000.00 EGP</w:t>
            </w:r>
          </w:p>
        </w:tc>
      </w:tr>
      <w:tr>
        <w:tc>
          <w:tcPr/>
          <w:p>
            <w:pPr>
              <w:pStyle w:val="Compact"/>
              <w:jc w:val="left"/>
            </w:pPr>
            <w:r>
              <w:t xml:space="preserve">VAT (14% – Egyptian Value Added Tax)</w:t>
            </w:r>
          </w:p>
        </w:tc>
        <w:tc>
          <w:tcPr/>
          <w:p>
            <w:pPr>
              <w:pStyle w:val="Compact"/>
              <w:jc w:val="left"/>
            </w:pPr>
            <w:r>
              <w:t xml:space="preserve">37,520.00 EGP</w:t>
            </w:r>
          </w:p>
        </w:tc>
      </w:tr>
      <w:tr>
        <w:tc>
          <w:tcPr/>
          <w:p>
            <w:pPr>
              <w:pStyle w:val="Compact"/>
              <w:jc w:val="left"/>
            </w:pPr>
            <w:r>
              <w:t xml:space="preserve">Withholding Tax (10% – per Egyptian Tax Law)</w:t>
            </w:r>
          </w:p>
        </w:tc>
        <w:tc>
          <w:tcPr/>
          <w:p>
            <w:pPr>
              <w:pStyle w:val="Compact"/>
              <w:jc w:val="left"/>
            </w:pPr>
            <w:r>
              <w:t xml:space="preserve">(26,800.00) EGP</w:t>
            </w:r>
          </w:p>
        </w:tc>
      </w:tr>
      <w:tr>
        <w:tc>
          <w:tcPr/>
          <w:p>
            <w:pPr>
              <w:pStyle w:val="Compact"/>
              <w:jc w:val="left"/>
            </w:pPr>
            <w:r>
              <w:t xml:space="preserve">Net Amount Due</w:t>
            </w:r>
          </w:p>
        </w:tc>
        <w:tc>
          <w:tcPr/>
          <w:p>
            <w:pPr>
              <w:pStyle w:val="Compact"/>
              <w:jc w:val="left"/>
            </w:pPr>
            <w:r>
              <w:t xml:space="preserve">278,720.00 EGP</w:t>
            </w:r>
          </w:p>
        </w:tc>
      </w:tr>
    </w:tbl>
    <w:bookmarkStart w:id="24" w:name="invoice-terms-conditions-important-notes"/>
    <w:p>
      <w:pPr>
        <w:pStyle w:val="Heading3"/>
      </w:pPr>
      <w:r>
        <w:t xml:space="preserve">Invoice Terms, Conditions &amp; Important Notes</w:t>
      </w:r>
    </w:p>
    <w:p>
      <w:pPr>
        <w:pStyle w:val="FirstParagraph"/>
      </w:pPr>
      <w:r>
        <w:t xml:space="preserve">This Invoice is issued by Nile Strategic Advisory Group, a registered Business Consultant firm operating in Egypt Cairo, in accordance with the Egyptian Commercial Code and the regulations of the Egyptian Tax Authority. All services rendered under this Invoice were performed by qualified, certified Business Consultant professionals holding valid credentials recognized by the Egyptian Ministry of Planning and Economic Development.</w:t>
      </w:r>
    </w:p>
    <w:p>
      <w:pPr>
        <w:numPr>
          <w:ilvl w:val="0"/>
          <w:numId w:val="1001"/>
        </w:numPr>
        <w:pStyle w:val="Compact"/>
      </w:pPr>
      <w:r>
        <w:rPr>
          <w:bCs/>
          <w:b/>
        </w:rPr>
        <w:t xml:space="preserve">Payment Deadline:</w:t>
      </w:r>
      <w:r>
        <w:t xml:space="preserve"> </w:t>
      </w:r>
      <w:r>
        <w:t xml:space="preserve">The total amount stated on this Invoice is due within fifteen (15) calendar days from the Invoice date. Late payments shall incur a penalty of 1.5% per month as stipulated under Egyptian commercial law.</w:t>
      </w:r>
    </w:p>
    <w:p>
      <w:pPr>
        <w:numPr>
          <w:ilvl w:val="0"/>
          <w:numId w:val="1001"/>
        </w:numPr>
        <w:pStyle w:val="Compact"/>
      </w:pPr>
      <w:r>
        <w:rPr>
          <w:bCs/>
          <w:b/>
        </w:rPr>
        <w:t xml:space="preserve">Payment Method:</w:t>
      </w:r>
      <w:r>
        <w:t xml:space="preserve"> </w:t>
      </w:r>
      <w:r>
        <w:t xml:space="preserve">Payment shall be made via bank transfer to the account details specified above. The Business Consultant firm accepts payments in Egyptian Pounds (EGP) only. International wire transfers must include the reference number NSG-2025-0487.</w:t>
      </w:r>
    </w:p>
    <w:p>
      <w:pPr>
        <w:numPr>
          <w:ilvl w:val="0"/>
          <w:numId w:val="1001"/>
        </w:numPr>
        <w:pStyle w:val="Compact"/>
      </w:pPr>
      <w:r>
        <w:rPr>
          <w:bCs/>
          <w:b/>
        </w:rPr>
        <w:t xml:space="preserve">Tax Compliance:</w:t>
      </w:r>
      <w:r>
        <w:t xml:space="preserve"> </w:t>
      </w:r>
      <w:r>
        <w:t xml:space="preserve">This Invoice includes the applicable 14% Value Added Tax (VAT) as mandated by the Egyptian Tax Authority. The 10% withholding tax has been deducted at source in compliance with Article 68 of the Egyptian Income Tax Law. The client is responsible for remitting the withheld amount to the tax authority.</w:t>
      </w:r>
    </w:p>
    <w:p>
      <w:pPr>
        <w:numPr>
          <w:ilvl w:val="0"/>
          <w:numId w:val="1001"/>
        </w:numPr>
        <w:pStyle w:val="Compact"/>
      </w:pPr>
      <w:r>
        <w:rPr>
          <w:bCs/>
          <w:b/>
        </w:rPr>
        <w:t xml:space="preserve">Dispute Resolution:</w:t>
      </w:r>
      <w:r>
        <w:t xml:space="preserve"> </w:t>
      </w:r>
      <w:r>
        <w:t xml:space="preserve">Any disputes arising from this Invoice or the associated Business Consultant services shall be resolved through the Cairo Commercial Arbitration Center in accordance with its rules and regulations.</w:t>
      </w:r>
    </w:p>
    <w:p>
      <w:pPr>
        <w:numPr>
          <w:ilvl w:val="0"/>
          <w:numId w:val="1001"/>
        </w:numPr>
        <w:pStyle w:val="Compact"/>
      </w:pPr>
      <w:r>
        <w:rPr>
          <w:bCs/>
          <w:b/>
        </w:rPr>
        <w:t xml:space="preserve">Validity:</w:t>
      </w:r>
      <w:r>
        <w:t xml:space="preserve"> </w:t>
      </w:r>
      <w:r>
        <w:t xml:space="preserve">This Invoice is valid for ninety (90) days from the date of issue. After this period, the Business Consultant reserves the right to reissue the Invoice with updated tax rates if applicable by the Egyptian government.</w:t>
      </w:r>
    </w:p>
    <w:p>
      <w:pPr>
        <w:numPr>
          <w:ilvl w:val="0"/>
          <w:numId w:val="1001"/>
        </w:numPr>
        <w:pStyle w:val="Compact"/>
      </w:pPr>
      <w:r>
        <w:rPr>
          <w:bCs/>
          <w:b/>
        </w:rPr>
        <w:t xml:space="preserve">Confidentiality:</w:t>
      </w:r>
      <w:r>
        <w:t xml:space="preserve"> </w:t>
      </w:r>
      <w:r>
        <w:t xml:space="preserve">All data, financial models, and strategic documents prepared by the Business Consultant during the service period remain the exclusive property of the client. The Business Consultant shall not disclose any proprietary information to third parties without written consent.</w:t>
      </w:r>
    </w:p>
    <w:p>
      <w:pPr>
        <w:pStyle w:val="FirstParagraph"/>
      </w:pPr>
      <w:r>
        <w:t xml:space="preserve">This Invoice constitutes the final and complete statement of all Business Consultant services rendered during the period of 01 May 2025 through 31 May 2025. No additional charges shall be applied beyond the amounts specified herein unless a separate written amendment is executed by both parties in Egypt Cairo.</w:t>
      </w:r>
    </w:p>
    <w:bookmarkEnd w:id="24"/>
    <w:p>
      <w:pPr>
        <w:pStyle w:val="BodyText"/>
      </w:pPr>
      <w:r>
        <w:rPr>
          <w:bCs/>
          <w:b/>
        </w:rPr>
        <w:t xml:space="preserve">Nile Strategic Advisory Group</w:t>
      </w:r>
      <w:r>
        <w:t xml:space="preserve"> </w:t>
      </w:r>
      <w:r>
        <w:t xml:space="preserve">– Professional Business Consultant Services in Egypt Cairo</w:t>
      </w:r>
    </w:p>
    <w:p>
      <w:pPr>
        <w:pStyle w:val="BodyText"/>
      </w:pPr>
      <w:r>
        <w:t xml:space="preserve">12th Floor, Cairo Business Tower, Nasr City, Cairo, Egypt 11341 | Tel: +20 2 2534 8890 | billing@nilestrategic-eg.com</w:t>
      </w:r>
    </w:p>
    <w:p>
      <w:pPr>
        <w:pStyle w:val="BodyText"/>
      </w:pPr>
      <w:r>
        <w:t xml:space="preserve">Commercial Registration: 184-729-335 | VAT Registration: 512-483-920-117 | Business Consultant License No. BC-EG-2019-0442</w:t>
      </w:r>
    </w:p>
    <w:p>
      <w:pPr>
        <w:pStyle w:val="BodyText"/>
      </w:pPr>
      <w:r>
        <w:t xml:space="preserve">Thank you for engaging our Business Consultant services. We are committed to delivering excellence in every engagement across Egypt Cairo and the broader Egyptian market.</w:t>
      </w:r>
    </w:p>
    <w:p>
      <w:pPr>
        <w:pStyle w:val="BodyText"/>
      </w:pPr>
      <w:r>
        <w:t xml:space="preserve">This is a computer-generated Invoice and does not require a physical signature. For verification,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Egypt Cairo</dc:title>
  <dc:creator/>
  <dc:language>en</dc:language>
  <cp:keywords/>
  <dcterms:created xsi:type="dcterms:W3CDTF">2026-10-10T03:49:39Z</dcterms:created>
  <dcterms:modified xsi:type="dcterms:W3CDTF">2026-10-10T03:49:39Z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