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strategis-consulting-gmbh"/>
    <w:p>
      <w:pPr>
        <w:pStyle w:val="Heading1"/>
      </w:pPr>
      <w:r>
        <w:t xml:space="preserve">Strategis Consulting GmbH</w:t>
      </w:r>
    </w:p>
    <w:p>
      <w:pPr>
        <w:pStyle w:val="FirstParagraph"/>
      </w:pPr>
      <w:r>
        <w:t xml:space="preserve">Business Consultant Services</w:t>
      </w:r>
    </w:p>
    <w:p>
      <w:pPr>
        <w:pStyle w:val="BodyText"/>
      </w:pPr>
      <w:r>
        <w:t xml:space="preserve">Unter den Linden 42, 10117 Berlin, Germany</w:t>
      </w:r>
    </w:p>
    <w:p>
      <w:pPr>
        <w:pStyle w:val="BodyText"/>
      </w:pPr>
      <w:r>
        <w:t xml:space="preserve">Phone: +49 (0)30 555 12345</w:t>
      </w:r>
    </w:p>
    <w:p>
      <w:pPr>
        <w:pStyle w:val="BodyText"/>
      </w:pPr>
      <w:r>
        <w:t xml:space="preserve">Email: invoices@strategis-consulting.de</w:t>
      </w:r>
    </w:p>
    <w:p>
      <w:pPr>
        <w:pStyle w:val="BodyText"/>
      </w:pPr>
      <w:r>
        <w:t xml:space="preserve">USt-IdNr: DE 312 456 789</w:t>
      </w:r>
    </w:p>
    <w:p>
      <w:pPr>
        <w:pStyle w:val="BodyText"/>
      </w:pPr>
      <w:r>
        <w:t xml:space="preserve">HRB: Berlin HRB 123 456</w:t>
      </w:r>
    </w:p>
    <w:bookmarkEnd w:id="20"/>
    <w:bookmarkStart w:id="21" w:name="invoice"/>
    <w:p>
      <w:pPr>
        <w:pStyle w:val="Heading2"/>
      </w:pPr>
      <w:r>
        <w:t xml:space="preserve">INVOICE</w:t>
      </w:r>
    </w:p>
    <w:p>
      <w:pPr>
        <w:pStyle w:val="FirstParagraph"/>
      </w:pPr>
      <w:r>
        <w:t xml:space="preserve">Rechnung</w:t>
      </w:r>
    </w:p>
    <w:p>
      <w:pPr>
        <w:pStyle w:val="BodyText"/>
      </w:pPr>
      <w:r>
        <w:t xml:space="preserve">Invoice No.: INV-2025-00847</w:t>
      </w:r>
    </w:p>
    <w:p>
      <w:pPr>
        <w:pStyle w:val="BodyText"/>
      </w:pPr>
      <w:r>
        <w:t xml:space="preserve">Date of Issue: 15 June 2025</w:t>
      </w:r>
    </w:p>
    <w:p>
      <w:pPr>
        <w:pStyle w:val="BodyText"/>
      </w:pPr>
      <w:r>
        <w:t xml:space="preserve">Due Date: 15 July 2025</w:t>
      </w:r>
    </w:p>
    <w:bookmarkEnd w:id="21"/>
    <w:bookmarkStart w:id="22" w:name="billed-to-client"/>
    <w:p>
      <w:pPr>
        <w:pStyle w:val="Heading3"/>
      </w:pPr>
      <w:r>
        <w:t xml:space="preserve">Billed To (Client)</w:t>
      </w:r>
    </w:p>
    <w:p>
      <w:pPr>
        <w:pStyle w:val="FirstParagraph"/>
      </w:pPr>
      <w:r>
        <w:rPr>
          <w:bCs/>
          <w:b/>
        </w:rPr>
        <w:t xml:space="preserve">Meridian Technologies AG</w:t>
      </w:r>
    </w:p>
    <w:p>
      <w:pPr>
        <w:pStyle w:val="BodyText"/>
      </w:pPr>
      <w:r>
        <w:t xml:space="preserve">Attn: Dr. Katharina Weber, CFO</w:t>
      </w:r>
    </w:p>
    <w:p>
      <w:pPr>
        <w:pStyle w:val="BodyText"/>
      </w:pPr>
      <w:r>
        <w:t xml:space="preserve">Friedrichstraße 180</w:t>
      </w:r>
    </w:p>
    <w:p>
      <w:pPr>
        <w:pStyle w:val="BodyText"/>
      </w:pPr>
      <w:r>
        <w:t xml:space="preserve">10117 Berlin, Germany</w:t>
      </w:r>
    </w:p>
    <w:p>
      <w:pPr>
        <w:pStyle w:val="BodyText"/>
      </w:pPr>
      <w:r>
        <w:t xml:space="preserve">VAT ID: DE 298 765 432</w:t>
      </w:r>
    </w:p>
    <w:bookmarkEnd w:id="22"/>
    <w:bookmarkStart w:id="23" w:name="engagement-details"/>
    <w:p>
      <w:pPr>
        <w:pStyle w:val="Heading3"/>
      </w:pPr>
      <w:r>
        <w:t xml:space="preserve">Engagement Details</w:t>
      </w:r>
    </w:p>
    <w:p>
      <w:pPr>
        <w:pStyle w:val="FirstParagraph"/>
      </w:pPr>
      <w:r>
        <w:rPr>
          <w:bCs/>
          <w:b/>
        </w:rPr>
        <w:t xml:space="preserve">Project:</w:t>
      </w:r>
      <w:r>
        <w:t xml:space="preserve"> </w:t>
      </w:r>
      <w:r>
        <w:t xml:space="preserve">Strategic Business Transformation</w:t>
      </w:r>
    </w:p>
    <w:p>
      <w:pPr>
        <w:pStyle w:val="BodyText"/>
      </w:pPr>
      <w:r>
        <w:rPr>
          <w:bCs/>
          <w:b/>
        </w:rPr>
        <w:t xml:space="preserve">Period:</w:t>
      </w:r>
      <w:r>
        <w:t xml:space="preserve"> </w:t>
      </w:r>
      <w:r>
        <w:t xml:space="preserve">01 April 2025 – 30 May 2025</w:t>
      </w:r>
    </w:p>
    <w:p>
      <w:pPr>
        <w:pStyle w:val="BodyText"/>
      </w:pPr>
      <w:r>
        <w:rPr>
          <w:bCs/>
          <w:b/>
        </w:rPr>
        <w:t xml:space="preserve">Reference:</w:t>
      </w:r>
      <w:r>
        <w:t xml:space="preserve"> </w:t>
      </w:r>
      <w:r>
        <w:t xml:space="preserve">PO-2025-0342</w:t>
      </w:r>
    </w:p>
    <w:p>
      <w:pPr>
        <w:pStyle w:val="BodyText"/>
      </w:pPr>
      <w:r>
        <w:rPr>
          <w:bCs/>
          <w:b/>
        </w:rPr>
        <w:t xml:space="preserve">Location:</w:t>
      </w:r>
      <w:r>
        <w:t xml:space="preserve"> </w:t>
      </w:r>
      <w:r>
        <w:t xml:space="preserve">Germany Berlin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Strategic Business Planning &amp; Organizational Assessment – On-site consultation at client premises in Germany Berlin, including SWOT analysis, competitive benchmarking, and stakeholder interviews with senior leadership.</w:t>
            </w:r>
          </w:p>
        </w:tc>
        <w:tc>
          <w:tcPr/>
          <w:p>
            <w:pPr>
              <w:pStyle w:val="Compact"/>
              <w:jc w:val="left"/>
            </w:pPr>
            <w:r>
              <w:t xml:space="preserve">48 hours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Operational Process Optimization – Design and implementation of lean management frameworks for the manufacturing division. Includes process mapping, bottleneck identification, and KPI development conducted by the lead Business Consultant team.</w:t>
            </w:r>
          </w:p>
        </w:tc>
        <w:tc>
          <w:tcPr/>
          <w:p>
            <w:pPr>
              <w:pStyle w:val="Compact"/>
              <w:jc w:val="left"/>
            </w:pPr>
            <w:r>
              <w:t xml:space="preserve">36 hours</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3</w:t>
            </w:r>
          </w:p>
        </w:tc>
        <w:tc>
          <w:tcPr/>
          <w:p>
            <w:pPr>
              <w:pStyle w:val="Compact"/>
              <w:jc w:val="left"/>
            </w:pPr>
            <w:r>
              <w:t xml:space="preserve">Digital Transformation Roadmap – Development of a 24-month technology adoption strategy, including vendor evaluation, integration architecture review, and change management planning for the Berlin headquarters.</w:t>
            </w:r>
          </w:p>
        </w:tc>
        <w:tc>
          <w:tcPr/>
          <w:p>
            <w:pPr>
              <w:pStyle w:val="Compact"/>
              <w:jc w:val="left"/>
            </w:pPr>
            <w:r>
              <w:t xml:space="preserve">24 hours</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4</w:t>
            </w:r>
          </w:p>
        </w:tc>
        <w:tc>
          <w:tcPr/>
          <w:p>
            <w:pPr>
              <w:pStyle w:val="Compact"/>
              <w:jc w:val="left"/>
            </w:pPr>
            <w:r>
              <w:t xml:space="preserve">Financial Restructuring Advisory – Analysis of capital allocation, cost structure optimization, and cash flow forecasting. Delivered as a comprehensive report with executive presentation to the board of directors in Germany Berlin.</w:t>
            </w:r>
          </w:p>
        </w:tc>
        <w:tc>
          <w:tcPr/>
          <w:p>
            <w:pPr>
              <w:pStyle w:val="Compact"/>
              <w:jc w:val="left"/>
            </w:pPr>
            <w:r>
              <w:t xml:space="preserve">20 hours</w:t>
            </w:r>
          </w:p>
        </w:tc>
        <w:tc>
          <w:tcPr/>
          <w:p>
            <w:pPr>
              <w:pStyle w:val="Compact"/>
              <w:jc w:val="left"/>
            </w:pPr>
            <w:r>
              <w:t xml:space="preserve">€210.00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Workshop Facilitation &amp; Training – Conducted four (4) half-day workshops for mid-level management on agile project management and cross-functional collaboration. Materials and venue coordination included.</w:t>
            </w:r>
          </w:p>
        </w:tc>
        <w:tc>
          <w:tcPr/>
          <w:p>
            <w:pPr>
              <w:pStyle w:val="Compact"/>
              <w:jc w:val="left"/>
            </w:pPr>
            <w:r>
              <w:t xml:space="preserve">4 sessions</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Travel &amp; Accommodation Expenses – Business travel within Germany Berlin metropolitan area, including local transportation, hotel accommodation (3 nights), and per diem allowances as per company policy.</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€1,875.00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€31,655.00</w:t>
            </w:r>
          </w:p>
        </w:tc>
      </w:tr>
      <w:tr>
        <w:tc>
          <w:tcPr/>
          <w:p>
            <w:pPr>
              <w:pStyle w:val="Compact"/>
              <w:jc w:val="left"/>
            </w:pPr>
            <w:r>
              <w:t xml:space="preserve">VAT (Umsatzsteuer) 19%</w:t>
            </w:r>
          </w:p>
        </w:tc>
        <w:tc>
          <w:tcPr/>
          <w:p>
            <w:pPr>
              <w:pStyle w:val="Compact"/>
              <w:jc w:val="left"/>
            </w:pPr>
            <w:r>
              <w:t xml:space="preserve">€6,014.45</w:t>
            </w:r>
          </w:p>
        </w:tc>
      </w:tr>
      <w:tr>
        <w:tc>
          <w:tcPr/>
          <w:p>
            <w:pPr>
              <w:pStyle w:val="Compact"/>
              <w:jc w:val="left"/>
            </w:pPr>
            <w:r>
              <w:t xml:space="preserve">Total Amount Due</w:t>
            </w:r>
          </w:p>
        </w:tc>
        <w:tc>
          <w:tcPr/>
          <w:p>
            <w:pPr>
              <w:pStyle w:val="Compact"/>
              <w:jc w:val="left"/>
            </w:pPr>
            <w:r>
              <w:t xml:space="preserve">€37,669.45</w:t>
            </w:r>
          </w:p>
        </w:tc>
      </w:tr>
    </w:tbl>
    <w:p>
      <w:pPr>
        <w:pStyle w:val="BodyText"/>
      </w:pPr>
      <w:r>
        <w:rPr>
          <w:bCs/>
          <w:b/>
        </w:rPr>
        <w:t xml:space="preserve">Payment Instructions (Banküberweisung / SEPA Transfer):</w:t>
      </w:r>
    </w:p>
    <w:p>
      <w:pPr>
        <w:pStyle w:val="BodyText"/>
      </w:pPr>
      <w:r>
        <w:t xml:space="preserve">Beneficiary: Strategis Consulting GmbH</w:t>
      </w:r>
    </w:p>
    <w:p>
      <w:pPr>
        <w:pStyle w:val="BodyText"/>
      </w:pPr>
      <w:r>
        <w:t xml:space="preserve">IBAN: DE89 3704 0044 0532 0130 00</w:t>
      </w:r>
    </w:p>
    <w:p>
      <w:pPr>
        <w:pStyle w:val="BodyText"/>
      </w:pPr>
      <w:r>
        <w:t xml:space="preserve">BIC/SWIFT: COBADEFFXXX</w:t>
      </w:r>
    </w:p>
    <w:p>
      <w:pPr>
        <w:pStyle w:val="BodyText"/>
      </w:pPr>
      <w:r>
        <w:t xml:space="preserve">Bank: Commerzbank AG, Berlin Branch</w:t>
      </w:r>
    </w:p>
    <w:p>
      <w:pPr>
        <w:pStyle w:val="BodyText"/>
      </w:pPr>
      <w:r>
        <w:t xml:space="preserve">Reference: INV-2025-00847 / Meridian Technologies AG</w:t>
      </w:r>
    </w:p>
    <w:p>
      <w:pPr>
        <w:pStyle w:val="BodyText"/>
      </w:pPr>
      <w:r>
        <w:rPr>
          <w:iCs/>
          <w:i/>
        </w:rPr>
        <w:t xml:space="preserve">Please ensure the Invoice number is included in the payment reference to facilitate accurate reconciliation.</w:t>
      </w:r>
    </w:p>
    <w:bookmarkStart w:id="24" w:name="terms-conditions-legal-notes"/>
    <w:p>
      <w:pPr>
        <w:pStyle w:val="Heading3"/>
      </w:pPr>
      <w:r>
        <w:t xml:space="preserve">Terms, Conditions &amp; Legal Notes</w:t>
      </w:r>
    </w:p>
    <w:p>
      <w:pPr>
        <w:numPr>
          <w:ilvl w:val="0"/>
          <w:numId w:val="1001"/>
        </w:numPr>
        <w:pStyle w:val="Compact"/>
      </w:pPr>
      <w:r>
        <w:t xml:space="preserve">This Invoice is issued in accordance with the German Commercial Code (Handelsgesetzbuch – HGB) and the applicable provisions of the German Civil Code (Bürgerliches Gesetzbuch – BGB) governing commercial services rendered in Germany Berlin.</w:t>
      </w:r>
    </w:p>
    <w:p>
      <w:pPr>
        <w:numPr>
          <w:ilvl w:val="0"/>
          <w:numId w:val="1001"/>
        </w:numPr>
        <w:pStyle w:val="Compact"/>
      </w:pPr>
      <w:r>
        <w:t xml:space="preserve">Payment is due within thirty (30) calendar days from the date of issue of this Invoice. Late payments shall accrue interest at the statutory rate of 8 percentage points above the European Central Bank base rate, as stipulated under § 288 BGB.</w:t>
      </w:r>
    </w:p>
    <w:p>
      <w:pPr>
        <w:numPr>
          <w:ilvl w:val="0"/>
          <w:numId w:val="1001"/>
        </w:numPr>
        <w:pStyle w:val="Compact"/>
      </w:pPr>
      <w:r>
        <w:t xml:space="preserve">The Business Consultant services described herein were performed under a Master Services Agreement (MSA) dated 15 March 2025, Reference No. MSA-2025-019, between Strategis Consulting GmbH and Meridian Technologies AG. All terms of that agreement remain in full force and effect.</w:t>
      </w:r>
    </w:p>
    <w:p>
      <w:pPr>
        <w:numPr>
          <w:ilvl w:val="0"/>
          <w:numId w:val="1001"/>
        </w:numPr>
        <w:pStyle w:val="Compact"/>
      </w:pPr>
      <w:r>
        <w:t xml:space="preserve">This Invoice is subject to the German Value Added Tax (Umsatzsteuer) at the standard rate of 19%, as governed by the German VAT Act (Umsatzsteuergesetz – UStG). The VAT identification number of the Business Consultant firm is stated in the header of this document.</w:t>
      </w:r>
    </w:p>
    <w:p>
      <w:pPr>
        <w:numPr>
          <w:ilvl w:val="0"/>
          <w:numId w:val="1001"/>
        </w:numPr>
        <w:pStyle w:val="Compact"/>
      </w:pPr>
      <w:r>
        <w:t xml:space="preserve">All services were delivered at the client's registered office in Germany Berlin. No cross-border supply of services applies; therefore, the place of taxation is Germany, and the standard domestic VAT rate is applicable.</w:t>
      </w:r>
    </w:p>
    <w:p>
      <w:pPr>
        <w:numPr>
          <w:ilvl w:val="0"/>
          <w:numId w:val="1001"/>
        </w:numPr>
        <w:pStyle w:val="Compact"/>
      </w:pPr>
      <w:r>
        <w:t xml:space="preserve">Strategis Consulting GmbH reserves the right to withhold delivery of final project documentation and the comprehensive Business Consultant report until full payment of this Invoice has been received and cleared in the bank account specified above.</w:t>
      </w:r>
    </w:p>
    <w:p>
      <w:pPr>
        <w:numPr>
          <w:ilvl w:val="0"/>
          <w:numId w:val="1001"/>
        </w:numPr>
        <w:pStyle w:val="Compact"/>
      </w:pPr>
      <w:r>
        <w:t xml:space="preserve">Any disputes arising from this Invoice or the underlying services shall be subject to the exclusive jurisdiction of the competent courts in Berlin, Germany. The applicable law is the law of the Federal Republic of Germany.</w:t>
      </w:r>
    </w:p>
    <w:p>
      <w:pPr>
        <w:numPr>
          <w:ilvl w:val="0"/>
          <w:numId w:val="1001"/>
        </w:numPr>
        <w:pStyle w:val="Compact"/>
      </w:pPr>
      <w:r>
        <w:t xml:space="preserve">This Invoice constitutes a final and binding statement of account for the services rendered during the period specified above. No additional charges will be incurred beyond the amounts stated herein unless a written change order is executed by both parties.</w:t>
      </w:r>
    </w:p>
    <w:bookmarkEnd w:id="24"/>
    <w:p>
      <w:pPr>
        <w:pStyle w:val="FirstParagraph"/>
      </w:pPr>
      <w:r>
        <w:t xml:space="preserve">Authorized Signatory:</w:t>
      </w:r>
    </w:p>
    <w:p>
      <w:pPr>
        <w:pStyle w:val="BodyText"/>
      </w:pPr>
      <w:r>
        <w:t xml:space="preserve">Dr. Markus Hoffmann</w:t>
      </w:r>
    </w:p>
    <w:p>
      <w:pPr>
        <w:pStyle w:val="BodyText"/>
      </w:pPr>
      <w:r>
        <w:t xml:space="preserve">Managing Director, Strategis Consulting GmbH</w:t>
      </w:r>
    </w:p>
    <w:p>
      <w:pPr>
        <w:pStyle w:val="BodyText"/>
      </w:pPr>
      <w:r>
        <w:t xml:space="preserve">[ Company Seal / Signature ]</w:t>
      </w:r>
    </w:p>
    <w:p>
      <w:pPr>
        <w:pStyle w:val="BodyText"/>
      </w:pPr>
      <w:r>
        <w:rPr>
          <w:bCs/>
          <w:b/>
        </w:rPr>
        <w:t xml:space="preserve">Strategis Consulting GmbH</w:t>
      </w:r>
      <w:r>
        <w:t xml:space="preserve"> </w:t>
      </w:r>
      <w:r>
        <w:t xml:space="preserve">– Business Consultant Services in Germany Berlin</w:t>
      </w:r>
    </w:p>
    <w:p>
      <w:pPr>
        <w:pStyle w:val="BodyText"/>
      </w:pPr>
      <w:r>
        <w:t xml:space="preserve">Unter den Linden 42, 10117 Berlin, Germany | Phone: +49 (0)30 555 12345 | Email: invoices@strategis-consulting.de</w:t>
      </w:r>
    </w:p>
    <w:p>
      <w:pPr>
        <w:pStyle w:val="BodyText"/>
      </w:pPr>
      <w:r>
        <w:t xml:space="preserve">USt-IdNr: DE 312 456 789 | HRB Berlin 123 456 | Managing Director: Dr. Markus Hoffmann</w:t>
      </w:r>
    </w:p>
    <w:p>
      <w:pPr>
        <w:pStyle w:val="BodyText"/>
      </w:pPr>
      <w:r>
        <w:t xml:space="preserve">This Invoice was generated electronically and is valid without a physical signature in accordance with § 146a UStG. Please retain this document for your tax records. For questions regarding this Invoice, please contact our billing department at billing@strategis-consulting.de.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Germany Berlin</dc:title>
  <dc:creator/>
  <dc:language>en</dc:language>
  <cp:keywords/>
  <dcterms:created xsi:type="dcterms:W3CDTF">2026-10-10T05:50:04Z</dcterms:created>
  <dcterms:modified xsi:type="dcterms:W3CDTF">2026-10-10T05:50:04Z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