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India</w:t>
      </w:r>
      <w:r>
        <w:t xml:space="preserve"> </w:t>
      </w:r>
      <w:r>
        <w:t xml:space="preserve">New</w:t>
      </w:r>
      <w:r>
        <w:t xml:space="preserve"> </w:t>
      </w:r>
      <w:r>
        <w:t xml:space="preserve">Delhi</w:t>
      </w:r>
    </w:p>
    <w:bookmarkStart w:id="20" w:name="strategic-vision-consulting-llp"/>
    <w:p>
      <w:pPr>
        <w:pStyle w:val="Heading1"/>
      </w:pPr>
      <w:r>
        <w:t xml:space="preserve">Strategic Vision Consulting LLP</w:t>
      </w:r>
    </w:p>
    <w:p>
      <w:pPr>
        <w:pStyle w:val="FirstParagraph"/>
      </w:pPr>
      <w:r>
        <w:t xml:space="preserve">Business Consultant Services Division</w:t>
      </w:r>
    </w:p>
    <w:p>
      <w:pPr>
        <w:pStyle w:val="BodyText"/>
      </w:pPr>
      <w:r>
        <w:t xml:space="preserve">Office No. 412, 4th Floor, Connaught Place</w:t>
      </w:r>
    </w:p>
    <w:p>
      <w:pPr>
        <w:pStyle w:val="BodyText"/>
      </w:pPr>
      <w:r>
        <w:t xml:space="preserve">New Delhi, India – 110001</w:t>
      </w:r>
    </w:p>
    <w:p>
      <w:pPr>
        <w:pStyle w:val="BodyText"/>
      </w:pPr>
      <w:r>
        <w:t xml:space="preserve">Email: billing@strategicvision.in</w:t>
      </w:r>
    </w:p>
    <w:p>
      <w:pPr>
        <w:pStyle w:val="BodyText"/>
      </w:pPr>
      <w:r>
        <w:t xml:space="preserve">Phone: +91-11-4567-8900</w:t>
      </w:r>
    </w:p>
    <w:p>
      <w:pPr>
        <w:pStyle w:val="BodyText"/>
      </w:pPr>
      <w:r>
        <w:t xml:space="preserve">GSTIN: 07AAACS1234F1Z5</w:t>
      </w:r>
    </w:p>
    <w:bookmarkEnd w:id="20"/>
    <w:bookmarkStart w:id="21" w:name="invoice"/>
    <w:p>
      <w:pPr>
        <w:pStyle w:val="Heading2"/>
      </w:pPr>
      <w:r>
        <w:t xml:space="preserve">INVOICE</w:t>
      </w:r>
    </w:p>
    <w:p>
      <w:pPr>
        <w:pStyle w:val="FirstParagraph"/>
      </w:pPr>
      <w:r>
        <w:t xml:space="preserve">Invoice No: SVC/2025/ND/00472</w:t>
      </w:r>
    </w:p>
    <w:p>
      <w:pPr>
        <w:pStyle w:val="BodyText"/>
      </w:pPr>
      <w:r>
        <w:t xml:space="preserve">Date: 15 June 2025</w:t>
      </w:r>
    </w:p>
    <w:p>
      <w:pPr>
        <w:pStyle w:val="BodyText"/>
      </w:pPr>
      <w:r>
        <w:t xml:space="preserve">Due Date: 30 June 2025</w:t>
      </w:r>
    </w:p>
    <w:p>
      <w:pPr>
        <w:pStyle w:val="BodyText"/>
      </w:pPr>
      <w:r>
        <w:t xml:space="preserve">GST APPLICABLE</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Meridian Technologies Pvt. Ltd.</w:t>
      </w:r>
    </w:p>
    <w:p>
      <w:pPr>
        <w:pStyle w:val="BodyText"/>
      </w:pPr>
      <w:r>
        <w:rPr>
          <w:bCs/>
          <w:b/>
        </w:rPr>
        <w:t xml:space="preserve">Address:</w:t>
      </w:r>
      <w:r>
        <w:t xml:space="preserve"> </w:t>
      </w:r>
      <w:r>
        <w:t xml:space="preserve">Plot 28, Sector 62, Noida Extension</w:t>
      </w:r>
    </w:p>
    <w:p>
      <w:pPr>
        <w:pStyle w:val="BodyText"/>
      </w:pPr>
      <w:r>
        <w:t xml:space="preserve">New Delhi, India – 110080</w:t>
      </w:r>
    </w:p>
    <w:p>
      <w:pPr>
        <w:pStyle w:val="BodyText"/>
      </w:pPr>
      <w:r>
        <w:rPr>
          <w:bCs/>
          <w:b/>
        </w:rPr>
        <w:t xml:space="preserve">Attention:</w:t>
      </w:r>
      <w:r>
        <w:t xml:space="preserve"> </w:t>
      </w:r>
      <w:r>
        <w:t xml:space="preserve">Mr. Rajesh Kumar, Chief Executive Officer</w:t>
      </w:r>
    </w:p>
    <w:p>
      <w:pPr>
        <w:pStyle w:val="BodyText"/>
      </w:pPr>
      <w:r>
        <w:rPr>
          <w:bCs/>
          <w:b/>
        </w:rPr>
        <w:t xml:space="preserve">GSTIN:</w:t>
      </w:r>
      <w:r>
        <w:t xml:space="preserve"> </w:t>
      </w:r>
      <w:r>
        <w:t xml:space="preserve">09AABCM5678K1Z2</w:t>
      </w:r>
    </w:p>
    <w:p>
      <w:pPr>
        <w:pStyle w:val="BodyText"/>
      </w:pPr>
      <w:r>
        <w:rPr>
          <w:bCs/>
          <w:b/>
        </w:rPr>
        <w:t xml:space="preserve">Phone:</w:t>
      </w:r>
      <w:r>
        <w:t xml:space="preserve"> </w:t>
      </w:r>
      <w:r>
        <w:t xml:space="preserve">+91-98765-43210</w:t>
      </w:r>
    </w:p>
    <w:bookmarkEnd w:id="22"/>
    <w:bookmarkStart w:id="23" w:name="business-consultant-details"/>
    <w:p>
      <w:pPr>
        <w:pStyle w:val="Heading3"/>
      </w:pPr>
      <w:r>
        <w:t xml:space="preserve">Business Consultant Details</w:t>
      </w:r>
    </w:p>
    <w:p>
      <w:pPr>
        <w:pStyle w:val="FirstParagraph"/>
      </w:pPr>
      <w:r>
        <w:rPr>
          <w:bCs/>
          <w:b/>
        </w:rPr>
        <w:t xml:space="preserve">Lead Consultant:</w:t>
      </w:r>
      <w:r>
        <w:t xml:space="preserve"> </w:t>
      </w:r>
      <w:r>
        <w:t xml:space="preserve">Dr. Ananya Sharma</w:t>
      </w:r>
    </w:p>
    <w:p>
      <w:pPr>
        <w:pStyle w:val="BodyText"/>
      </w:pPr>
      <w:r>
        <w:rPr>
          <w:bCs/>
          <w:b/>
        </w:rPr>
        <w:t xml:space="preserve">Designation:</w:t>
      </w:r>
      <w:r>
        <w:t xml:space="preserve"> </w:t>
      </w:r>
      <w:r>
        <w:t xml:space="preserve">Senior Business Consultant</w:t>
      </w:r>
    </w:p>
    <w:p>
      <w:pPr>
        <w:pStyle w:val="BodyText"/>
      </w:pPr>
      <w:r>
        <w:rPr>
          <w:bCs/>
          <w:b/>
        </w:rPr>
        <w:t xml:space="preserve">Specialization:</w:t>
      </w:r>
      <w:r>
        <w:t xml:space="preserve"> </w:t>
      </w:r>
      <w:r>
        <w:t xml:space="preserve">Corporate Strategy &amp; Operations</w:t>
      </w:r>
    </w:p>
    <w:p>
      <w:pPr>
        <w:pStyle w:val="BodyText"/>
      </w:pPr>
      <w:r>
        <w:rPr>
          <w:bCs/>
          <w:b/>
        </w:rPr>
        <w:t xml:space="preserve">Engagement Period:</w:t>
      </w:r>
      <w:r>
        <w:t xml:space="preserve"> </w:t>
      </w:r>
      <w:r>
        <w:t xml:space="preserve">01 May 2025 – 31 May 2025</w:t>
      </w:r>
    </w:p>
    <w:p>
      <w:pPr>
        <w:pStyle w:val="BodyText"/>
      </w:pPr>
      <w:r>
        <w:rPr>
          <w:bCs/>
          <w:b/>
        </w:rPr>
        <w:t xml:space="preserve">Project Ref:</w:t>
      </w:r>
      <w:r>
        <w:t xml:space="preserve"> </w:t>
      </w:r>
      <w:r>
        <w:t xml:space="preserve">MTL-STRAT-2025-009</w:t>
      </w:r>
    </w:p>
    <w:p>
      <w:pPr>
        <w:pStyle w:val="BodyText"/>
      </w:pPr>
      <w:r>
        <w:rPr>
          <w:bCs/>
          <w:b/>
        </w:rPr>
        <w:t xml:space="preserve">Location of Service:</w:t>
      </w:r>
      <w:r>
        <w:t xml:space="preserve"> </w:t>
      </w:r>
      <w:r>
        <w:t xml:space="preserve">New Delhi, India</w:t>
      </w:r>
    </w:p>
    <w:bookmarkEnd w:id="23"/>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S.No</w:t>
            </w:r>
          </w:p>
        </w:tc>
        <w:tc>
          <w:tcPr/>
          <w:p>
            <w:pPr>
              <w:pStyle w:val="Compact"/>
              <w:jc w:val="left"/>
            </w:pPr>
            <w:r>
              <w:t xml:space="preserve">Description of Business Consultant Services</w:t>
            </w:r>
          </w:p>
        </w:tc>
        <w:tc>
          <w:tcPr/>
          <w:p>
            <w:pPr>
              <w:pStyle w:val="Compact"/>
              <w:jc w:val="left"/>
            </w:pPr>
            <w:r>
              <w:t xml:space="preserve">HSN/SAC Code</w:t>
            </w:r>
          </w:p>
        </w:tc>
        <w:tc>
          <w:tcPr/>
          <w:p>
            <w:pPr>
              <w:pStyle w:val="Compact"/>
              <w:jc w:val="left"/>
            </w:pPr>
            <w:r>
              <w:t xml:space="preserve">Rate (INR)</w:t>
            </w:r>
          </w:p>
        </w:tc>
        <w:tc>
          <w:tcPr/>
          <w:p>
            <w:pPr>
              <w:pStyle w:val="Compact"/>
              <w:jc w:val="left"/>
            </w:pPr>
            <w:r>
              <w:t xml:space="preserve">Qty/Hours</w:t>
            </w:r>
          </w:p>
        </w:tc>
        <w:tc>
          <w:tcPr/>
          <w:p>
            <w:pPr>
              <w:pStyle w:val="Compact"/>
              <w:jc w:val="left"/>
            </w:pPr>
            <w:r>
              <w:t xml:space="preserve">Amount (INR)</w:t>
            </w:r>
          </w:p>
        </w:tc>
        <w:tc>
          <w:tcPr/>
          <w:p>
            <w:pPr>
              <w:pStyle w:val="Compact"/>
              <w:jc w:val="left"/>
            </w:pPr>
            <w:r>
              <w:t xml:space="preserve">GST %</w:t>
            </w:r>
          </w:p>
        </w:tc>
        <w:tc>
          <w:tcPr/>
          <w:p>
            <w:pPr>
              <w:pStyle w:val="Compact"/>
              <w:jc w:val="left"/>
            </w:pPr>
            <w:r>
              <w:t xml:space="preserve">Taxable Amount (INR)</w:t>
            </w:r>
          </w:p>
        </w:tc>
      </w:tr>
      <w:tr>
        <w:tc>
          <w:tcPr/>
          <w:p>
            <w:pPr>
              <w:pStyle w:val="Compact"/>
              <w:jc w:val="left"/>
            </w:pPr>
            <w:r>
              <w:t xml:space="preserve">1</w:t>
            </w:r>
          </w:p>
        </w:tc>
        <w:tc>
          <w:tcPr/>
          <w:p>
            <w:pPr>
              <w:pStyle w:val="Compact"/>
              <w:jc w:val="left"/>
            </w:pPr>
            <w:r>
              <w:t xml:space="preserve">Strategic Business Planning &amp; Market Analysis – Comprehensive assessment of the client's market positioning in the Indian technology sector, including competitive benchmarking and SWOT analysis conducted by the Business Consultant at the client's premises in New Delhi, India.</w:t>
            </w:r>
          </w:p>
        </w:tc>
        <w:tc>
          <w:tcPr/>
          <w:p>
            <w:pPr>
              <w:pStyle w:val="Compact"/>
              <w:jc w:val="left"/>
            </w:pPr>
            <w:r>
              <w:t xml:space="preserve">998315</w:t>
            </w:r>
          </w:p>
        </w:tc>
        <w:tc>
          <w:tcPr/>
          <w:p>
            <w:pPr>
              <w:pStyle w:val="Compact"/>
              <w:jc w:val="left"/>
            </w:pPr>
            <w:r>
              <w:t xml:space="preserve">₹ 12,500</w:t>
            </w:r>
          </w:p>
        </w:tc>
        <w:tc>
          <w:tcPr/>
          <w:p>
            <w:pPr>
              <w:pStyle w:val="Compact"/>
              <w:jc w:val="left"/>
            </w:pPr>
            <w:r>
              <w:t xml:space="preserve">40 hrs</w:t>
            </w:r>
          </w:p>
        </w:tc>
        <w:tc>
          <w:tcPr/>
          <w:p>
            <w:pPr>
              <w:pStyle w:val="Compact"/>
              <w:jc w:val="left"/>
            </w:pPr>
            <w:r>
              <w:t xml:space="preserve">₹ 5,00,000</w:t>
            </w:r>
          </w:p>
        </w:tc>
        <w:tc>
          <w:tcPr/>
          <w:p>
            <w:pPr>
              <w:pStyle w:val="Compact"/>
              <w:jc w:val="left"/>
            </w:pPr>
            <w:r>
              <w:t xml:space="preserve">18%</w:t>
            </w:r>
          </w:p>
        </w:tc>
        <w:tc>
          <w:tcPr/>
          <w:p>
            <w:pPr>
              <w:pStyle w:val="Compact"/>
              <w:jc w:val="left"/>
            </w:pPr>
            <w:r>
              <w:t xml:space="preserve">₹ 90,000</w:t>
            </w:r>
          </w:p>
        </w:tc>
      </w:tr>
      <w:tr>
        <w:tc>
          <w:tcPr/>
          <w:p>
            <w:pPr>
              <w:pStyle w:val="Compact"/>
              <w:jc w:val="left"/>
            </w:pPr>
            <w:r>
              <w:t xml:space="preserve">2</w:t>
            </w:r>
          </w:p>
        </w:tc>
        <w:tc>
          <w:tcPr/>
          <w:p>
            <w:pPr>
              <w:pStyle w:val="Compact"/>
              <w:jc w:val="left"/>
            </w:pPr>
            <w:r>
              <w:t xml:space="preserve">Operational Efficiency Audit – Detailed review of internal workflows, supply chain processes, and resource allocation. The Business Consultant provided actionable recommendations to reduce operational costs by an estimated 15% for the fiscal year 2025-26.</w:t>
            </w:r>
          </w:p>
        </w:tc>
        <w:tc>
          <w:tcPr/>
          <w:p>
            <w:pPr>
              <w:pStyle w:val="Compact"/>
              <w:jc w:val="left"/>
            </w:pPr>
            <w:r>
              <w:t xml:space="preserve">998315</w:t>
            </w:r>
          </w:p>
        </w:tc>
        <w:tc>
          <w:tcPr/>
          <w:p>
            <w:pPr>
              <w:pStyle w:val="Compact"/>
              <w:jc w:val="left"/>
            </w:pPr>
            <w:r>
              <w:t xml:space="preserve">₹ 10,000</w:t>
            </w:r>
          </w:p>
        </w:tc>
        <w:tc>
          <w:tcPr/>
          <w:p>
            <w:pPr>
              <w:pStyle w:val="Compact"/>
              <w:jc w:val="left"/>
            </w:pPr>
            <w:r>
              <w:t xml:space="preserve">32 hrs</w:t>
            </w:r>
          </w:p>
        </w:tc>
        <w:tc>
          <w:tcPr/>
          <w:p>
            <w:pPr>
              <w:pStyle w:val="Compact"/>
              <w:jc w:val="left"/>
            </w:pPr>
            <w:r>
              <w:t xml:space="preserve">₹ 3,20,000</w:t>
            </w:r>
          </w:p>
        </w:tc>
        <w:tc>
          <w:tcPr/>
          <w:p>
            <w:pPr>
              <w:pStyle w:val="Compact"/>
              <w:jc w:val="left"/>
            </w:pPr>
            <w:r>
              <w:t xml:space="preserve">18%</w:t>
            </w:r>
          </w:p>
        </w:tc>
        <w:tc>
          <w:tcPr/>
          <w:p>
            <w:pPr>
              <w:pStyle w:val="Compact"/>
              <w:jc w:val="left"/>
            </w:pPr>
            <w:r>
              <w:t xml:space="preserve">₹ 57,600</w:t>
            </w:r>
          </w:p>
        </w:tc>
      </w:tr>
      <w:tr>
        <w:tc>
          <w:tcPr/>
          <w:p>
            <w:pPr>
              <w:pStyle w:val="Compact"/>
              <w:jc w:val="left"/>
            </w:pPr>
            <w:r>
              <w:t xml:space="preserve">3</w:t>
            </w:r>
          </w:p>
        </w:tc>
        <w:tc>
          <w:tcPr/>
          <w:p>
            <w:pPr>
              <w:pStyle w:val="Compact"/>
              <w:jc w:val="left"/>
            </w:pPr>
            <w:r>
              <w:t xml:space="preserve">Leadership &amp; Organizational Development Workshop – Facilitation of a two-day executive workshop for the senior management team of 12 members. The Business Consultant delivered sessions on change management, delegation frameworks, and performance optimization strategies.</w:t>
            </w:r>
          </w:p>
        </w:tc>
        <w:tc>
          <w:tcPr/>
          <w:p>
            <w:pPr>
              <w:pStyle w:val="Compact"/>
              <w:jc w:val="left"/>
            </w:pPr>
            <w:r>
              <w:t xml:space="preserve">998315</w:t>
            </w:r>
          </w:p>
        </w:tc>
        <w:tc>
          <w:tcPr/>
          <w:p>
            <w:pPr>
              <w:pStyle w:val="Compact"/>
              <w:jc w:val="left"/>
            </w:pPr>
            <w:r>
              <w:t xml:space="preserve">₹ 85,000</w:t>
            </w:r>
          </w:p>
        </w:tc>
        <w:tc>
          <w:tcPr/>
          <w:p>
            <w:pPr>
              <w:pStyle w:val="Compact"/>
              <w:jc w:val="left"/>
            </w:pPr>
            <w:r>
              <w:t xml:space="preserve">2 days</w:t>
            </w:r>
          </w:p>
        </w:tc>
        <w:tc>
          <w:tcPr/>
          <w:p>
            <w:pPr>
              <w:pStyle w:val="Compact"/>
              <w:jc w:val="left"/>
            </w:pPr>
            <w:r>
              <w:t xml:space="preserve">₹ 1,70,000</w:t>
            </w:r>
          </w:p>
        </w:tc>
        <w:tc>
          <w:tcPr/>
          <w:p>
            <w:pPr>
              <w:pStyle w:val="Compact"/>
              <w:jc w:val="left"/>
            </w:pPr>
            <w:r>
              <w:t xml:space="preserve">18%</w:t>
            </w:r>
          </w:p>
        </w:tc>
        <w:tc>
          <w:tcPr/>
          <w:p>
            <w:pPr>
              <w:pStyle w:val="Compact"/>
              <w:jc w:val="left"/>
            </w:pPr>
            <w:r>
              <w:t xml:space="preserve">₹ 30,600</w:t>
            </w:r>
          </w:p>
        </w:tc>
      </w:tr>
      <w:tr>
        <w:tc>
          <w:tcPr/>
          <w:p>
            <w:pPr>
              <w:pStyle w:val="Compact"/>
              <w:jc w:val="left"/>
            </w:pPr>
            <w:r>
              <w:t xml:space="preserve">4</w:t>
            </w:r>
          </w:p>
        </w:tc>
        <w:tc>
          <w:tcPr/>
          <w:p>
            <w:pPr>
              <w:pStyle w:val="Compact"/>
              <w:jc w:val="left"/>
            </w:pPr>
            <w:r>
              <w:t xml:space="preserve">Digital Transformation Roadmap – Development of a 3-year digital adoption strategy including technology stack recommendations, vendor selection criteria, and phased implementation timeline. Prepared and presented by the Business Consultant to the Board of Directors in New Delhi, India.</w:t>
            </w:r>
          </w:p>
        </w:tc>
        <w:tc>
          <w:tcPr/>
          <w:p>
            <w:pPr>
              <w:pStyle w:val="Compact"/>
              <w:jc w:val="left"/>
            </w:pPr>
            <w:r>
              <w:t xml:space="preserve">998315</w:t>
            </w:r>
          </w:p>
        </w:tc>
        <w:tc>
          <w:tcPr/>
          <w:p>
            <w:pPr>
              <w:pStyle w:val="Compact"/>
              <w:jc w:val="left"/>
            </w:pPr>
            <w:r>
              <w:t xml:space="preserve">₹ 15,000</w:t>
            </w:r>
          </w:p>
        </w:tc>
        <w:tc>
          <w:tcPr/>
          <w:p>
            <w:pPr>
              <w:pStyle w:val="Compact"/>
              <w:jc w:val="left"/>
            </w:pPr>
            <w:r>
              <w:t xml:space="preserve">24 hrs</w:t>
            </w:r>
          </w:p>
        </w:tc>
        <w:tc>
          <w:tcPr/>
          <w:p>
            <w:pPr>
              <w:pStyle w:val="Compact"/>
              <w:jc w:val="left"/>
            </w:pPr>
            <w:r>
              <w:t xml:space="preserve">₹ 3,60,000</w:t>
            </w:r>
          </w:p>
        </w:tc>
        <w:tc>
          <w:tcPr/>
          <w:p>
            <w:pPr>
              <w:pStyle w:val="Compact"/>
              <w:jc w:val="left"/>
            </w:pPr>
            <w:r>
              <w:t xml:space="preserve">18%</w:t>
            </w:r>
          </w:p>
        </w:tc>
        <w:tc>
          <w:tcPr/>
          <w:p>
            <w:pPr>
              <w:pStyle w:val="Compact"/>
              <w:jc w:val="left"/>
            </w:pPr>
            <w:r>
              <w:t xml:space="preserve">₹ 64,800</w:t>
            </w:r>
          </w:p>
        </w:tc>
      </w:tr>
      <w:tr>
        <w:tc>
          <w:tcPr/>
          <w:p>
            <w:pPr>
              <w:pStyle w:val="Compact"/>
              <w:jc w:val="left"/>
            </w:pPr>
            <w:r>
              <w:t xml:space="preserve">5</w:t>
            </w:r>
          </w:p>
        </w:tc>
        <w:tc>
          <w:tcPr/>
          <w:p>
            <w:pPr>
              <w:pStyle w:val="Compact"/>
              <w:jc w:val="left"/>
            </w:pPr>
            <w:r>
              <w:t xml:space="preserve">Monthly Advisory Retainer – Ongoing strategic advisory services including weekly progress reviews, email consultations, and on-demand guidance for the Business Consultant engagement. Covers all follow-up queries and minor adjustments to the strategic plan.</w:t>
            </w:r>
          </w:p>
        </w:tc>
        <w:tc>
          <w:tcPr/>
          <w:p>
            <w:pPr>
              <w:pStyle w:val="Compact"/>
              <w:jc w:val="left"/>
            </w:pPr>
            <w:r>
              <w:t xml:space="preserve">998315</w:t>
            </w:r>
          </w:p>
        </w:tc>
        <w:tc>
          <w:tcPr/>
          <w:p>
            <w:pPr>
              <w:pStyle w:val="Compact"/>
              <w:jc w:val="left"/>
            </w:pPr>
            <w:r>
              <w:t xml:space="preserve">₹ 1,00,000</w:t>
            </w:r>
          </w:p>
        </w:tc>
        <w:tc>
          <w:tcPr/>
          <w:p>
            <w:pPr>
              <w:pStyle w:val="Compact"/>
              <w:jc w:val="left"/>
            </w:pPr>
            <w:r>
              <w:t xml:space="preserve">1 month</w:t>
            </w:r>
          </w:p>
        </w:tc>
        <w:tc>
          <w:tcPr/>
          <w:p>
            <w:pPr>
              <w:pStyle w:val="Compact"/>
              <w:jc w:val="left"/>
            </w:pPr>
            <w:r>
              <w:t xml:space="preserve">₹ 1,00,000</w:t>
            </w:r>
          </w:p>
        </w:tc>
        <w:tc>
          <w:tcPr/>
          <w:p>
            <w:pPr>
              <w:pStyle w:val="Compact"/>
              <w:jc w:val="left"/>
            </w:pPr>
            <w:r>
              <w:t xml:space="preserve">18%</w:t>
            </w:r>
          </w:p>
        </w:tc>
        <w:tc>
          <w:tcPr/>
          <w:p>
            <w:pPr>
              <w:pStyle w:val="Compact"/>
              <w:jc w:val="left"/>
            </w:pPr>
            <w:r>
              <w:t xml:space="preserve">₹ 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right"/>
            </w:pPr>
            <w:r>
              <w:t xml:space="preserve">₹ 14,50,000.00</w:t>
            </w:r>
          </w:p>
        </w:tc>
      </w:tr>
      <w:tr>
        <w:tc>
          <w:tcPr/>
          <w:p>
            <w:pPr>
              <w:pStyle w:val="Compact"/>
              <w:jc w:val="left"/>
            </w:pPr>
            <w:r>
              <w:t xml:space="preserve">GST @ 18% (CGST 9% + SGST 9%)</w:t>
            </w:r>
          </w:p>
        </w:tc>
        <w:tc>
          <w:tcPr/>
          <w:p>
            <w:pPr>
              <w:pStyle w:val="Compact"/>
              <w:jc w:val="right"/>
            </w:pPr>
            <w:r>
              <w:t xml:space="preserve">₹ 2,61,000.00</w:t>
            </w:r>
          </w:p>
        </w:tc>
      </w:tr>
      <w:tr>
        <w:tc>
          <w:tcPr/>
          <w:p>
            <w:pPr>
              <w:pStyle w:val="Compact"/>
              <w:jc w:val="left"/>
            </w:pPr>
            <w:r>
              <w:t xml:space="preserve">CGST @ 9%</w:t>
            </w:r>
          </w:p>
        </w:tc>
        <w:tc>
          <w:tcPr/>
          <w:p>
            <w:pPr>
              <w:pStyle w:val="Compact"/>
              <w:jc w:val="right"/>
            </w:pPr>
            <w:r>
              <w:t xml:space="preserve">₹ 1,30,500.00</w:t>
            </w:r>
          </w:p>
        </w:tc>
      </w:tr>
      <w:tr>
        <w:tc>
          <w:tcPr/>
          <w:p>
            <w:pPr>
              <w:pStyle w:val="Compact"/>
              <w:jc w:val="left"/>
            </w:pPr>
            <w:r>
              <w:t xml:space="preserve">SGST @ 9%</w:t>
            </w:r>
          </w:p>
        </w:tc>
        <w:tc>
          <w:tcPr/>
          <w:p>
            <w:pPr>
              <w:pStyle w:val="Compact"/>
              <w:jc w:val="right"/>
            </w:pPr>
            <w:r>
              <w:t xml:space="preserve">₹ 1,30,500.00</w:t>
            </w:r>
          </w:p>
        </w:tc>
      </w:tr>
      <w:tr>
        <w:tc>
          <w:tcPr/>
          <w:p>
            <w:pPr>
              <w:pStyle w:val="Compact"/>
              <w:jc w:val="left"/>
            </w:pPr>
            <w:r>
              <w:t xml:space="preserve">Travel &amp; Accommodation (New Delhi, India)</w:t>
            </w:r>
          </w:p>
        </w:tc>
        <w:tc>
          <w:tcPr/>
          <w:p>
            <w:pPr>
              <w:pStyle w:val="Compact"/>
              <w:jc w:val="right"/>
            </w:pPr>
            <w:r>
              <w:t xml:space="preserve">₹ 12,500.00</w:t>
            </w:r>
          </w:p>
        </w:tc>
      </w:tr>
      <w:tr>
        <w:tc>
          <w:tcPr/>
          <w:p>
            <w:pPr>
              <w:pStyle w:val="Compact"/>
              <w:jc w:val="left"/>
            </w:pPr>
            <w:r>
              <w:t xml:space="preserve">Round-off Adjustment</w:t>
            </w:r>
          </w:p>
        </w:tc>
        <w:tc>
          <w:tcPr/>
          <w:p>
            <w:pPr>
              <w:pStyle w:val="Compact"/>
              <w:jc w:val="right"/>
            </w:pPr>
            <w:r>
              <w:t xml:space="preserve">₹ 0.00</w:t>
            </w:r>
          </w:p>
        </w:tc>
      </w:tr>
      <w:tr>
        <w:tc>
          <w:tcPr/>
          <w:p>
            <w:pPr>
              <w:pStyle w:val="Compact"/>
              <w:jc w:val="left"/>
            </w:pPr>
            <w:r>
              <w:t xml:space="preserve">GRAND TOTAL (INR)</w:t>
            </w:r>
          </w:p>
        </w:tc>
        <w:tc>
          <w:tcPr/>
          <w:p>
            <w:pPr>
              <w:pStyle w:val="Compact"/>
              <w:jc w:val="right"/>
            </w:pPr>
            <w:r>
              <w:t xml:space="preserve">₹ 17,23,500.00</w:t>
            </w:r>
          </w:p>
        </w:tc>
      </w:tr>
    </w:tbl>
    <w:p>
      <w:pPr>
        <w:pStyle w:val="BodyText"/>
      </w:pPr>
      <w:r>
        <w:rPr>
          <w:bCs/>
          <w:b/>
        </w:rPr>
        <w:t xml:space="preserve">Amount in Words:</w:t>
      </w:r>
      <w:r>
        <w:t xml:space="preserve"> </w:t>
      </w:r>
      <w:r>
        <w:t xml:space="preserve">Rupees Seventeen Lakh Twenty-Three Thousand Five Hundred Only (₹ 17,23,500.00)</w:t>
      </w:r>
    </w:p>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Strategic Vision Consulting LLP, a registered Business Consultant firm operating out of New Delhi, India, and is governed by the laws of the Republic of India.</w:t>
      </w:r>
    </w:p>
    <w:p>
      <w:pPr>
        <w:numPr>
          <w:ilvl w:val="0"/>
          <w:numId w:val="1001"/>
        </w:numPr>
        <w:pStyle w:val="Compact"/>
      </w:pPr>
      <w:r>
        <w:t xml:space="preserve">Payment is due within 15 days from the date of this Invoice. Late payments shall attract interest at 1.5% per month or the rate prescribed under Section 50 of the CGST Act, 2017, whichever is higher.</w:t>
      </w:r>
    </w:p>
    <w:p>
      <w:pPr>
        <w:numPr>
          <w:ilvl w:val="0"/>
          <w:numId w:val="1001"/>
        </w:numPr>
        <w:pStyle w:val="Compact"/>
      </w:pPr>
      <w:r>
        <w:t xml:space="preserve">All services rendered by the Business Consultant are subject to the Master Service Agreement (MSA) dated 20 April 2025, reference number MSA/2025/ND/012, executed between both parties in New Delhi, India.</w:t>
      </w:r>
    </w:p>
    <w:p>
      <w:pPr>
        <w:numPr>
          <w:ilvl w:val="0"/>
          <w:numId w:val="1001"/>
        </w:numPr>
        <w:pStyle w:val="Compact"/>
      </w:pPr>
      <w:r>
        <w:t xml:space="preserve">The GST charged on this Invoice is as per the applicable rates under the Goods and Services Tax Act, 2017. The client is eligible to claim Input Tax Credit (ITC) as per the provisions of the GST law.</w:t>
      </w:r>
    </w:p>
    <w:p>
      <w:pPr>
        <w:numPr>
          <w:ilvl w:val="0"/>
          <w:numId w:val="1001"/>
        </w:numPr>
        <w:pStyle w:val="Compact"/>
      </w:pPr>
      <w:r>
        <w:t xml:space="preserve">Any disputes arising from this Invoice or the associated Business Consultant engagement shall be subject to the exclusive jurisdiction of the competent courts in New Delhi, India.</w:t>
      </w:r>
    </w:p>
    <w:p>
      <w:pPr>
        <w:numPr>
          <w:ilvl w:val="0"/>
          <w:numId w:val="1001"/>
        </w:numPr>
        <w:pStyle w:val="Compact"/>
      </w:pPr>
      <w:r>
        <w:t xml:space="preserve">Confidentiality obligations as outlined in the NDA (Non-Disclosure Agreement) remain in full force and effect. All deliverables, reports, and strategic documents prepared by the Business Consultant are the exclusive intellectual property of the client upon full payment.</w:t>
      </w:r>
    </w:p>
    <w:p>
      <w:pPr>
        <w:numPr>
          <w:ilvl w:val="0"/>
          <w:numId w:val="1001"/>
        </w:numPr>
        <w:pStyle w:val="Compact"/>
      </w:pPr>
      <w:r>
        <w:t xml:space="preserve">This Invoice is valid for 30 days from the date of issue. No additional charges will be applicable for services already rendered and documented under this Invoice.</w:t>
      </w:r>
    </w:p>
    <w:p>
      <w:pPr>
        <w:numPr>
          <w:ilvl w:val="0"/>
          <w:numId w:val="1001"/>
        </w:numPr>
        <w:pStyle w:val="Compact"/>
      </w:pPr>
      <w:r>
        <w:t xml:space="preserve">Bank Details for Payment: Account Name – Strategic Vision Consulting LLP; Bank – State Bank of India, Connaught Place Branch, New Delhi, India; A/C No: 30214567890; IFSC: SBIN0001234; UPI: strategicvision@okaxis.</w:t>
      </w:r>
    </w:p>
    <w:bookmarkEnd w:id="24"/>
    <w:p>
      <w:pPr>
        <w:pStyle w:val="FirstParagraph"/>
      </w:pPr>
      <w:r>
        <w:t xml:space="preserve">For Strategic Vision Consulting LLP</w:t>
      </w:r>
      <w:r>
        <w:br/>
      </w:r>
      <w:r>
        <w:t xml:space="preserve">(Authorized Signatory &amp; Business Consultant)</w:t>
      </w:r>
      <w:r>
        <w:br/>
      </w:r>
      <w:r>
        <w:t xml:space="preserve">Dr. Ananya Sharma</w:t>
      </w:r>
    </w:p>
    <w:p>
      <w:pPr>
        <w:pStyle w:val="BodyText"/>
      </w:pPr>
      <w:r>
        <w:t xml:space="preserve">For Meridian Technologies Pvt. Ltd.</w:t>
      </w:r>
      <w:r>
        <w:br/>
      </w:r>
      <w:r>
        <w:t xml:space="preserve">(Received &amp; Accepted)</w:t>
      </w:r>
      <w:r>
        <w:br/>
      </w:r>
      <w:r>
        <w:t xml:space="preserve">Mr. Rajesh Kumar, CEO</w:t>
      </w:r>
    </w:p>
    <w:p>
      <w:pPr>
        <w:pStyle w:val="BodyText"/>
      </w:pPr>
      <w:r>
        <w:rPr>
          <w:bCs/>
          <w:b/>
        </w:rPr>
        <w:t xml:space="preserve">Strategic Vision Consulting LLP</w:t>
      </w:r>
      <w:r>
        <w:t xml:space="preserve"> </w:t>
      </w:r>
      <w:r>
        <w:t xml:space="preserve">| Business Consultant Services | New Delhi, India – 110001</w:t>
      </w:r>
    </w:p>
    <w:p>
      <w:pPr>
        <w:pStyle w:val="BodyText"/>
      </w:pPr>
      <w:r>
        <w:t xml:space="preserve">This is a computer-generated Invoice and does not require a physical signature. For queries regarding this Invoice, please contact billing@strategicvision.in or call +91-11-4567-8900.</w:t>
      </w:r>
    </w:p>
    <w:p>
      <w:pPr>
        <w:pStyle w:val="BodyText"/>
      </w:pPr>
      <w:r>
        <w:t xml:space="preserve">Registered Office: Connaught Place, New Delhi, India | CIN: U74999DL2018PTC345678 | GSTIN: 07AAACS1234F1Z5</w:t>
      </w:r>
    </w:p>
    <w:p>
      <w:pPr>
        <w:pStyle w:val="BodyText"/>
      </w:pPr>
      <w:r>
        <w:t xml:space="preserve">Invoice generated on 15 June 2025 | Page 1 of 1 | Document ID: INV-ND-2025-00472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India New Delhi</dc:title>
  <dc:creator/>
  <dc:language>en</dc:language>
  <cp:keywords/>
  <dcterms:created xsi:type="dcterms:W3CDTF">2026-10-10T03:18:17Z</dcterms:created>
  <dcterms:modified xsi:type="dcterms:W3CDTF">2026-10-10T03:18:17Z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