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pt-nusantara-strategic-advisory"/>
    <w:p>
      <w:pPr>
        <w:pStyle w:val="Heading1"/>
      </w:pPr>
      <w:r>
        <w:t xml:space="preserve">PT Nusantara Strategic Advisory</w:t>
      </w:r>
    </w:p>
    <w:p>
      <w:pPr>
        <w:pStyle w:val="FirstParagraph"/>
      </w:pPr>
      <w:r>
        <w:t xml:space="preserve">Business Consultant Firm</w:t>
      </w:r>
    </w:p>
    <w:p>
      <w:pPr>
        <w:pStyle w:val="BodyText"/>
      </w:pPr>
      <w:r>
        <w:t xml:space="preserve">Jl. Jend. Sudirman Kav. 52-53, Menara Sentral Lt. 21</w:t>
      </w:r>
    </w:p>
    <w:p>
      <w:pPr>
        <w:pStyle w:val="BodyText"/>
      </w:pPr>
      <w:r>
        <w:t xml:space="preserve">Jakarta Selatan, Indonesia Jakarta 12190</w:t>
      </w:r>
    </w:p>
    <w:p>
      <w:pPr>
        <w:pStyle w:val="BodyText"/>
      </w:pPr>
      <w:r>
        <w:t xml:space="preserve">Tel: +62-21-5790-8800 | Email: billing@nusantara-advisory.co.id</w:t>
      </w:r>
    </w:p>
    <w:p>
      <w:pPr>
        <w:pStyle w:val="BodyText"/>
      </w:pPr>
      <w:r>
        <w:t xml:space="preserve">NPWP: 02.345.678.9-012.000</w:t>
      </w:r>
    </w:p>
    <w:bookmarkEnd w:id="20"/>
    <w:bookmarkStart w:id="21" w:name="invoice"/>
    <w:p>
      <w:pPr>
        <w:pStyle w:val="Heading2"/>
      </w:pPr>
      <w:r>
        <w:t xml:space="preserve">INVOICE</w:t>
      </w:r>
    </w:p>
    <w:p>
      <w:pPr>
        <w:pStyle w:val="FirstParagraph"/>
      </w:pPr>
      <w:r>
        <w:t xml:space="preserve">Invoice No: INV/2025/JKT/00472</w:t>
      </w:r>
    </w:p>
    <w:p>
      <w:pPr>
        <w:pStyle w:val="BodyText"/>
      </w:pPr>
      <w:r>
        <w:t xml:space="preserve">Date: 15 June 2025</w:t>
      </w:r>
    </w:p>
    <w:p>
      <w:pPr>
        <w:pStyle w:val="BodyText"/>
      </w:pPr>
      <w:r>
        <w:t xml:space="preserve">Due Date: 30 June 2025</w:t>
      </w:r>
    </w:p>
    <w:p>
      <w:pPr>
        <w:pStyle w:val="BodyText"/>
      </w:pPr>
      <w:r>
        <w:t xml:space="preserve">PENDING PAYMENT</w:t>
      </w:r>
    </w:p>
    <w:bookmarkEnd w:id="21"/>
    <w:bookmarkStart w:id="22" w:name="bill-to-client"/>
    <w:p>
      <w:pPr>
        <w:pStyle w:val="Heading3"/>
      </w:pPr>
      <w:r>
        <w:t xml:space="preserve">Bill To (Client)</w:t>
      </w:r>
    </w:p>
    <w:p>
      <w:pPr>
        <w:pStyle w:val="FirstParagraph"/>
      </w:pPr>
      <w:r>
        <w:rPr>
          <w:bCs/>
          <w:b/>
        </w:rPr>
        <w:t xml:space="preserve">PT Artha Mandiri Group</w:t>
      </w:r>
    </w:p>
    <w:p>
      <w:pPr>
        <w:pStyle w:val="BodyText"/>
      </w:pPr>
      <w:r>
        <w:t xml:space="preserve">Attn: Mr. Budi Santoso, Chief Operating Officer</w:t>
      </w:r>
    </w:p>
    <w:p>
      <w:pPr>
        <w:pStyle w:val="BodyText"/>
      </w:pPr>
      <w:r>
        <w:t xml:space="preserve">Jl. Gatot Subroto Kav. 28, SCBD Lot 28</w:t>
      </w:r>
    </w:p>
    <w:p>
      <w:pPr>
        <w:pStyle w:val="BodyText"/>
      </w:pPr>
      <w:r>
        <w:t xml:space="preserve">Jakarta Pusat, Indonesia Jakarta 12130</w:t>
      </w:r>
    </w:p>
    <w:p>
      <w:pPr>
        <w:pStyle w:val="BodyText"/>
      </w:pPr>
      <w:r>
        <w:t xml:space="preserve">NPWP: 01.987.654.3-056.000</w:t>
      </w:r>
    </w:p>
    <w:bookmarkEnd w:id="22"/>
    <w:bookmarkStart w:id="23" w:name="invoice-details"/>
    <w:p>
      <w:pPr>
        <w:pStyle w:val="Heading3"/>
      </w:pPr>
      <w:r>
        <w:t xml:space="preserve">Invoice Details</w:t>
      </w:r>
    </w:p>
    <w:p>
      <w:pPr>
        <w:pStyle w:val="FirstParagraph"/>
      </w:pPr>
      <w:r>
        <w:t xml:space="preserve">Service Period: 1 May 2025 – 31 May 2025</w:t>
      </w:r>
    </w:p>
    <w:p>
      <w:pPr>
        <w:pStyle w:val="BodyText"/>
      </w:pPr>
      <w:r>
        <w:t xml:space="preserve">Project: Operational Efficiency &amp; Market Expansion</w:t>
      </w:r>
    </w:p>
    <w:p>
      <w:pPr>
        <w:pStyle w:val="BodyText"/>
      </w:pPr>
      <w:r>
        <w:t xml:space="preserve">Consultant: Dr. Ratna Wijaya, MBA</w:t>
      </w:r>
    </w:p>
    <w:p>
      <w:pPr>
        <w:pStyle w:val="BodyText"/>
      </w:pPr>
      <w:r>
        <w:t xml:space="preserve">Reference: PO/AMG/2025/0031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Business Consultant Services</w:t>
            </w:r>
          </w:p>
        </w:tc>
        <w:tc>
          <w:tcPr/>
          <w:p>
            <w:pPr>
              <w:pStyle w:val="Compact"/>
              <w:jc w:val="left"/>
            </w:pPr>
            <w:r>
              <w:t xml:space="preserve">Hours / Units</w:t>
            </w:r>
          </w:p>
        </w:tc>
        <w:tc>
          <w:tcPr/>
          <w:p>
            <w:pPr>
              <w:pStyle w:val="Compact"/>
              <w:jc w:val="left"/>
            </w:pPr>
            <w:r>
              <w:t xml:space="preserve">Rate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Strategic Business Consulting – Operational Process Audit &amp; Workflow Optimization for Indonesia Jakarta headquarters and regional branches</w:t>
            </w:r>
          </w:p>
        </w:tc>
        <w:tc>
          <w:tcPr/>
          <w:p>
            <w:pPr>
              <w:pStyle w:val="Compact"/>
              <w:jc w:val="left"/>
            </w:pPr>
            <w:r>
              <w:t xml:space="preserve">80 hrs</w:t>
            </w:r>
          </w:p>
        </w:tc>
        <w:tc>
          <w:tcPr/>
          <w:p>
            <w:pPr>
              <w:pStyle w:val="Compact"/>
              <w:jc w:val="left"/>
            </w:pPr>
            <w:r>
              <w:t xml:space="preserve">1,250,000</w:t>
            </w:r>
          </w:p>
        </w:tc>
        <w:tc>
          <w:tcPr/>
          <w:p>
            <w:pPr>
              <w:pStyle w:val="Compact"/>
              <w:jc w:val="left"/>
            </w:pPr>
            <w:r>
              <w:t xml:space="preserve">100,000,000</w:t>
            </w:r>
          </w:p>
        </w:tc>
      </w:tr>
      <w:tr>
        <w:tc>
          <w:tcPr/>
          <w:p>
            <w:pPr>
              <w:pStyle w:val="Compact"/>
              <w:jc w:val="left"/>
            </w:pPr>
            <w:r>
              <w:t xml:space="preserve">2</w:t>
            </w:r>
          </w:p>
        </w:tc>
        <w:tc>
          <w:tcPr/>
          <w:p>
            <w:pPr>
              <w:pStyle w:val="Compact"/>
              <w:jc w:val="left"/>
            </w:pPr>
            <w:r>
              <w:t xml:space="preserve">Market Entry Analysis &amp; Competitive Intelligence Report for Southeast Asia expansion from Indonesia Jakarta base</w:t>
            </w:r>
          </w:p>
        </w:tc>
        <w:tc>
          <w:tcPr/>
          <w:p>
            <w:pPr>
              <w:pStyle w:val="Compact"/>
              <w:jc w:val="left"/>
            </w:pPr>
            <w:r>
              <w:t xml:space="preserve">40 hrs</w:t>
            </w:r>
          </w:p>
        </w:tc>
        <w:tc>
          <w:tcPr/>
          <w:p>
            <w:pPr>
              <w:pStyle w:val="Compact"/>
              <w:jc w:val="left"/>
            </w:pPr>
            <w:r>
              <w:t xml:space="preserve">1,500,000</w:t>
            </w:r>
          </w:p>
        </w:tc>
        <w:tc>
          <w:tcPr/>
          <w:p>
            <w:pPr>
              <w:pStyle w:val="Compact"/>
              <w:jc w:val="left"/>
            </w:pPr>
            <w:r>
              <w:t xml:space="preserve">60,000,000</w:t>
            </w:r>
          </w:p>
        </w:tc>
      </w:tr>
      <w:tr>
        <w:tc>
          <w:tcPr/>
          <w:p>
            <w:pPr>
              <w:pStyle w:val="Compact"/>
              <w:jc w:val="left"/>
            </w:pPr>
            <w:r>
              <w:t xml:space="preserve">3</w:t>
            </w:r>
          </w:p>
        </w:tc>
        <w:tc>
          <w:tcPr/>
          <w:p>
            <w:pPr>
              <w:pStyle w:val="Compact"/>
              <w:jc w:val="left"/>
            </w:pPr>
            <w:r>
              <w:t xml:space="preserve">Organizational Restructuring Advisory – Business Consultant on-site engagement for leadership team alignment</w:t>
            </w:r>
          </w:p>
        </w:tc>
        <w:tc>
          <w:tcPr/>
          <w:p>
            <w:pPr>
              <w:pStyle w:val="Compact"/>
              <w:jc w:val="left"/>
            </w:pPr>
            <w:r>
              <w:t xml:space="preserve">24 hrs</w:t>
            </w:r>
          </w:p>
        </w:tc>
        <w:tc>
          <w:tcPr/>
          <w:p>
            <w:pPr>
              <w:pStyle w:val="Compact"/>
              <w:jc w:val="left"/>
            </w:pPr>
            <w:r>
              <w:t xml:space="preserve">1,750,000</w:t>
            </w:r>
          </w:p>
        </w:tc>
        <w:tc>
          <w:tcPr/>
          <w:p>
            <w:pPr>
              <w:pStyle w:val="Compact"/>
              <w:jc w:val="left"/>
            </w:pPr>
            <w:r>
              <w:t xml:space="preserve">42,000,000</w:t>
            </w:r>
          </w:p>
        </w:tc>
      </w:tr>
      <w:tr>
        <w:tc>
          <w:tcPr/>
          <w:p>
            <w:pPr>
              <w:pStyle w:val="Compact"/>
              <w:jc w:val="left"/>
            </w:pPr>
            <w:r>
              <w:t xml:space="preserve">4</w:t>
            </w:r>
          </w:p>
        </w:tc>
        <w:tc>
          <w:tcPr/>
          <w:p>
            <w:pPr>
              <w:pStyle w:val="Compact"/>
              <w:jc w:val="left"/>
            </w:pPr>
            <w:r>
              <w:t xml:space="preserve">Digital Transformation Roadmap Development &amp; Technology Integration Strategy Session</w:t>
            </w:r>
          </w:p>
        </w:tc>
        <w:tc>
          <w:tcPr/>
          <w:p>
            <w:pPr>
              <w:pStyle w:val="Compact"/>
              <w:jc w:val="left"/>
            </w:pPr>
            <w:r>
              <w:t xml:space="preserve">32 hrs</w:t>
            </w:r>
          </w:p>
        </w:tc>
        <w:tc>
          <w:tcPr/>
          <w:p>
            <w:pPr>
              <w:pStyle w:val="Compact"/>
              <w:jc w:val="left"/>
            </w:pPr>
            <w:r>
              <w:t xml:space="preserve">1,400,000</w:t>
            </w:r>
          </w:p>
        </w:tc>
        <w:tc>
          <w:tcPr/>
          <w:p>
            <w:pPr>
              <w:pStyle w:val="Compact"/>
              <w:jc w:val="left"/>
            </w:pPr>
            <w:r>
              <w:t xml:space="preserve">44,800,000</w:t>
            </w:r>
          </w:p>
        </w:tc>
      </w:tr>
      <w:tr>
        <w:tc>
          <w:tcPr/>
          <w:p>
            <w:pPr>
              <w:pStyle w:val="Compact"/>
              <w:jc w:val="left"/>
            </w:pPr>
            <w:r>
              <w:t xml:space="preserve">5</w:t>
            </w:r>
          </w:p>
        </w:tc>
        <w:tc>
          <w:tcPr/>
          <w:p>
            <w:pPr>
              <w:pStyle w:val="Compact"/>
              <w:jc w:val="left"/>
            </w:pPr>
            <w:r>
              <w:t xml:space="preserve">Executive Training &amp; Capacity Building Workshop (2-day intensive program in Indonesia Jakarta)</w:t>
            </w:r>
          </w:p>
        </w:tc>
        <w:tc>
          <w:tcPr/>
          <w:p>
            <w:pPr>
              <w:pStyle w:val="Compact"/>
              <w:jc w:val="left"/>
            </w:pPr>
            <w:r>
              <w:t xml:space="preserve">2 days</w:t>
            </w:r>
          </w:p>
        </w:tc>
        <w:tc>
          <w:tcPr/>
          <w:p>
            <w:pPr>
              <w:pStyle w:val="Compact"/>
              <w:jc w:val="left"/>
            </w:pPr>
            <w:r>
              <w:t xml:space="preserve">18,500,000</w:t>
            </w:r>
          </w:p>
        </w:tc>
        <w:tc>
          <w:tcPr/>
          <w:p>
            <w:pPr>
              <w:pStyle w:val="Compact"/>
              <w:jc w:val="left"/>
            </w:pPr>
            <w:r>
              <w:t xml:space="preserve">37,000,000</w:t>
            </w:r>
          </w:p>
        </w:tc>
      </w:tr>
      <w:tr>
        <w:tc>
          <w:tcPr/>
          <w:p>
            <w:pPr>
              <w:pStyle w:val="Compact"/>
              <w:jc w:val="left"/>
            </w:pPr>
            <w:r>
              <w:t xml:space="preserve">6</w:t>
            </w:r>
          </w:p>
        </w:tc>
        <w:tc>
          <w:tcPr/>
          <w:p>
            <w:pPr>
              <w:pStyle w:val="Compact"/>
              <w:jc w:val="left"/>
            </w:pPr>
            <w:r>
              <w:t xml:space="preserve">Monthly Progress Reporting, Stakeholder Presentations &amp; Ongoing Business Consultant Support</w:t>
            </w:r>
          </w:p>
        </w:tc>
        <w:tc>
          <w:tcPr/>
          <w:p>
            <w:pPr>
              <w:pStyle w:val="Compact"/>
              <w:jc w:val="left"/>
            </w:pPr>
            <w:r>
              <w:t xml:space="preserve">16 hrs</w:t>
            </w:r>
          </w:p>
        </w:tc>
        <w:tc>
          <w:tcPr/>
          <w:p>
            <w:pPr>
              <w:pStyle w:val="Compact"/>
              <w:jc w:val="left"/>
            </w:pPr>
            <w:r>
              <w:t xml:space="preserve">1,100,000</w:t>
            </w:r>
          </w:p>
        </w:tc>
        <w:tc>
          <w:tcPr/>
          <w:p>
            <w:pPr>
              <w:pStyle w:val="Compact"/>
              <w:jc w:val="left"/>
            </w:pPr>
            <w:r>
              <w:t xml:space="preserve">17,600,000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301,400,000</w:t>
            </w:r>
          </w:p>
        </w:tc>
      </w:tr>
      <w:tr>
        <w:tc>
          <w:tcPr/>
          <w:p>
            <w:pPr>
              <w:pStyle w:val="Compact"/>
              <w:jc w:val="left"/>
            </w:pPr>
            <w:r>
              <w:t xml:space="preserve">Discount (Early Payment 2%)</w:t>
            </w:r>
          </w:p>
        </w:tc>
        <w:tc>
          <w:tcPr/>
          <w:p>
            <w:pPr>
              <w:pStyle w:val="Compact"/>
              <w:jc w:val="left"/>
            </w:pPr>
            <w:r>
              <w:t xml:space="preserve">- IDR 6,028,000</w:t>
            </w:r>
          </w:p>
        </w:tc>
      </w:tr>
      <w:tr>
        <w:tc>
          <w:tcPr/>
          <w:p>
            <w:pPr>
              <w:pStyle w:val="Compact"/>
              <w:jc w:val="left"/>
            </w:pPr>
            <w:r>
              <w:t xml:space="preserve">VAT / PPN (11%)</w:t>
            </w:r>
          </w:p>
        </w:tc>
        <w:tc>
          <w:tcPr/>
          <w:p>
            <w:pPr>
              <w:pStyle w:val="Compact"/>
              <w:jc w:val="left"/>
            </w:pPr>
            <w:r>
              <w:t xml:space="preserve">IDR 31,896,720</w:t>
            </w:r>
          </w:p>
        </w:tc>
      </w:tr>
      <w:tr>
        <w:tc>
          <w:tcPr/>
          <w:p>
            <w:pPr>
              <w:pStyle w:val="Compact"/>
              <w:jc w:val="left"/>
            </w:pPr>
            <w:r>
              <w:t xml:space="preserve">Withholding Tax PPh 23 (2%)</w:t>
            </w:r>
          </w:p>
        </w:tc>
        <w:tc>
          <w:tcPr/>
          <w:p>
            <w:pPr>
              <w:pStyle w:val="Compact"/>
              <w:jc w:val="left"/>
            </w:pPr>
            <w:r>
              <w:t xml:space="preserve">- IDR 5,915,456</w:t>
            </w:r>
          </w:p>
        </w:tc>
      </w:tr>
      <w:tr>
        <w:tc>
          <w:tcPr/>
          <w:p>
            <w:pPr>
              <w:pStyle w:val="Compact"/>
              <w:jc w:val="left"/>
            </w:pPr>
            <w:r>
              <w:t xml:space="preserve">GRAND TOTAL DUE</w:t>
            </w:r>
          </w:p>
        </w:tc>
        <w:tc>
          <w:tcPr/>
          <w:p>
            <w:pPr>
              <w:pStyle w:val="Compact"/>
              <w:jc w:val="left"/>
            </w:pPr>
            <w:r>
              <w:t xml:space="preserve">IDR 322,253,264</w:t>
            </w:r>
          </w:p>
        </w:tc>
      </w:tr>
    </w:tbl>
    <w:bookmarkStart w:id="24" w:name="payment-instructions"/>
    <w:p>
      <w:pPr>
        <w:pStyle w:val="Heading3"/>
      </w:pPr>
      <w:r>
        <w:t xml:space="preserve">Payment Instructions</w:t>
      </w:r>
    </w:p>
    <w:p>
      <w:pPr>
        <w:pStyle w:val="FirstParagraph"/>
      </w:pPr>
      <w:r>
        <w:t xml:space="preserve">Please remit payment for this Invoice via bank transfer to the following account:</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PT Nusantara Strategic Advisory</w:t>
      </w:r>
    </w:p>
    <w:p>
      <w:pPr>
        <w:pStyle w:val="BodyText"/>
      </w:pPr>
      <w:r>
        <w:rPr>
          <w:bCs/>
          <w:b/>
        </w:rPr>
        <w:t xml:space="preserve">Account Number:</w:t>
      </w:r>
      <w:r>
        <w:t xml:space="preserve"> </w:t>
      </w:r>
      <w:r>
        <w:t xml:space="preserve">4420-8891-5567-01</w:t>
      </w:r>
    </w:p>
    <w:p>
      <w:pPr>
        <w:pStyle w:val="BodyText"/>
      </w:pPr>
      <w:r>
        <w:rPr>
          <w:bCs/>
          <w:b/>
        </w:rPr>
        <w:t xml:space="preserve">SWIFT Code:</w:t>
      </w:r>
      <w:r>
        <w:t xml:space="preserve"> </w:t>
      </w:r>
      <w:r>
        <w:t xml:space="preserve">BCAKIDJA</w:t>
      </w:r>
    </w:p>
    <w:p>
      <w:pPr>
        <w:pStyle w:val="BodyText"/>
      </w:pPr>
      <w:r>
        <w:rPr>
          <w:bCs/>
          <w:b/>
        </w:rPr>
        <w:t xml:space="preserve">Reference:</w:t>
      </w:r>
      <w:r>
        <w:t xml:space="preserve"> </w:t>
      </w:r>
      <w:r>
        <w:t xml:space="preserve">INV/2025/JKT/00472</w:t>
      </w:r>
    </w:p>
    <w:p>
      <w:pPr>
        <w:pStyle w:val="BodyText"/>
      </w:pPr>
      <w:r>
        <w:t xml:space="preserve">Please ensure the full amount of</w:t>
      </w:r>
      <w:r>
        <w:t xml:space="preserve"> </w:t>
      </w:r>
      <w:r>
        <w:rPr>
          <w:bCs/>
          <w:b/>
        </w:rPr>
        <w:t xml:space="preserve">IDR 322,253,264</w:t>
      </w:r>
      <w:r>
        <w:t xml:space="preserve"> </w:t>
      </w:r>
      <w:r>
        <w:t xml:space="preserve">is transferred no later than the due date of 30 June 2025. Late payments are subject to a penalty of 1.5% per month as stipulated in our master service agreement.</w:t>
      </w:r>
    </w:p>
    <w:bookmarkEnd w:id="24"/>
    <w:bookmarkStart w:id="25" w:name="terms-conditions"/>
    <w:p>
      <w:pPr>
        <w:pStyle w:val="Heading3"/>
      </w:pPr>
      <w:r>
        <w:t xml:space="preserve">Terms &amp; Conditions</w:t>
      </w:r>
    </w:p>
    <w:p>
      <w:pPr>
        <w:pStyle w:val="FirstParagraph"/>
      </w:pPr>
      <w:r>
        <w:t xml:space="preserve">1. This Invoice is issued by PT Nusantara Strategic Advisory, a registered Business Consultant firm operating in Indonesia Jakarta, in accordance with the Master Services Agreement dated 10 April 2025 between both parties.</w:t>
      </w:r>
    </w:p>
    <w:p>
      <w:pPr>
        <w:pStyle w:val="BodyText"/>
      </w:pPr>
      <w:r>
        <w:t xml:space="preserve">2. All services rendered by our Business Consultant team are subject to the scope of work defined in Appendix A of the contract. Any additional services beyond the agreed scope will be billed separately via a supplementary Invoice.</w:t>
      </w:r>
    </w:p>
    <w:p>
      <w:pPr>
        <w:pStyle w:val="BodyText"/>
      </w:pPr>
      <w:r>
        <w:t xml:space="preserve">3. Payment is due within 15 (fifteen) calendar days from the date of this Invoice. The client acknowledges that failure to settle this Invoice by the due date may result in suspension of ongoing Business Consultant services.</w:t>
      </w:r>
    </w:p>
    <w:p>
      <w:pPr>
        <w:pStyle w:val="BodyText"/>
      </w:pPr>
      <w:r>
        <w:t xml:space="preserve">4. All amounts stated in this Invoice are in Indonesian Rupiah (IDR). The applicable Value Added Tax (PPN) of 11% has been calculated in compliance with Indonesian tax regulations as administered by the Directorate General of Taxes (Ditjen Pajak).</w:t>
      </w:r>
    </w:p>
    <w:p>
      <w:pPr>
        <w:pStyle w:val="BodyText"/>
      </w:pPr>
      <w:r>
        <w:t xml:space="preserve">5. The Withholding Tax (PPh Pasal 23) of 2% has been deducted in accordance with Indonesian tax law. The client is responsible for remitting this amount to the relevant tax authority in Indonesia Jakarta.</w:t>
      </w:r>
    </w:p>
    <w:p>
      <w:pPr>
        <w:pStyle w:val="BodyText"/>
      </w:pPr>
      <w:r>
        <w:t xml:space="preserve">6. This Invoice is valid for 90 days from the date of issue. After this period, the Invoice may be reissued with updated tax calculations if applicable rates have changed.</w:t>
      </w:r>
    </w:p>
    <w:p>
      <w:pPr>
        <w:pStyle w:val="BodyText"/>
      </w:pPr>
      <w:r>
        <w:t xml:space="preserve">7. All intellectual property, reports, and deliverables produced by the Business Consultant during the engagement period remain the property of PT Nusantara Strategic Advisory until full payment of this Invoice is confirmed.</w:t>
      </w:r>
    </w:p>
    <w:p>
      <w:pPr>
        <w:pStyle w:val="BodyText"/>
      </w:pPr>
      <w:r>
        <w:t xml:space="preserve">8. Disputes arising from this Invoice shall be resolved through arbitration in Indonesia Jakarta in accordance with the rules of the Indonesian National Board of Arbitration (BANI).</w:t>
      </w:r>
    </w:p>
    <w:bookmarkEnd w:id="25"/>
    <w:p>
      <w:pPr>
        <w:pStyle w:val="BodyText"/>
      </w:pPr>
      <w:r>
        <w:rPr>
          <w:bCs/>
          <w:b/>
        </w:rPr>
        <w:t xml:space="preserve">PT Nusantara Strategic Advisory</w:t>
      </w:r>
      <w:r>
        <w:t xml:space="preserve"> </w:t>
      </w:r>
      <w:r>
        <w:t xml:space="preserve">– Business Consultant Firm | Indonesia Jakarta</w:t>
      </w:r>
    </w:p>
    <w:p>
      <w:pPr>
        <w:pStyle w:val="BodyText"/>
      </w:pPr>
      <w:r>
        <w:t xml:space="preserve">Jl. Jend. Sudirman Kav. 52-53, Menara Sentral Lt. 21, Jakarta Selatan, Indonesia Jakarta 12190</w:t>
      </w:r>
    </w:p>
    <w:p>
      <w:pPr>
        <w:pStyle w:val="BodyText"/>
      </w:pPr>
      <w:r>
        <w:t xml:space="preserve">NPWP: 02.345.678.9-012.000 | TDP: 1102000123456 | SIUP: 501-2025-JKT</w:t>
      </w:r>
    </w:p>
    <w:p>
      <w:pPr>
        <w:pStyle w:val="BodyText"/>
      </w:pPr>
      <w:r>
        <w:t xml:space="preserve">This Invoice was generated electronically and is valid without a physical signature. For verification, please contact billing@nusantara-advisory.co.id or call +62-21-5790-8800.</w:t>
      </w:r>
    </w:p>
    <w:p>
      <w:pPr>
        <w:pStyle w:val="BodyText"/>
      </w:pPr>
      <w:r>
        <w:t xml:space="preserve">Thank you for your business. We appreciate the opportunity to serve as your trusted Business Consultant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Business Consultant Services - Indonesia Jakarta</dc:title>
  <dc:creator/>
  <dc:language>en</dc:language>
  <cp:keywords/>
  <dcterms:created xsi:type="dcterms:W3CDTF">2026-10-10T08:09:39Z</dcterms:created>
  <dcterms:modified xsi:type="dcterms:W3CDTF">2026-10-10T08:09:39Z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