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Iran</w:t>
      </w:r>
      <w:r>
        <w:t xml:space="preserve"> </w:t>
      </w:r>
      <w:r>
        <w:t xml:space="preserve">Tehran</w:t>
      </w:r>
    </w:p>
    <w:p>
      <w:pPr>
        <w:pStyle w:val="FirstParagraph"/>
      </w:pPr>
      <w:r>
        <w:t xml:space="preserve">INVOICE</w:t>
      </w:r>
    </w:p>
    <w:p>
      <w:pPr>
        <w:pStyle w:val="BodyText"/>
      </w:pPr>
      <w:r>
        <w:t xml:space="preserve">Invoice No: BCS-IR-2025-0047</w:t>
      </w:r>
    </w:p>
    <w:p>
      <w:pPr>
        <w:pStyle w:val="BodyText"/>
      </w:pPr>
      <w:r>
        <w:t xml:space="preserve">Date of Issue: June 15, 2025</w:t>
      </w:r>
    </w:p>
    <w:p>
      <w:pPr>
        <w:pStyle w:val="BodyText"/>
      </w:pPr>
      <w:r>
        <w:t xml:space="preserve">Due Date: July 15, 2025</w:t>
      </w:r>
    </w:p>
    <w:p>
      <w:pPr>
        <w:pStyle w:val="BodyText"/>
      </w:pPr>
      <w:r>
        <w:t xml:space="preserve">PENDING PAYMENT</w:t>
      </w:r>
    </w:p>
    <w:bookmarkStart w:id="20" w:name="business-consultant-services"/>
    <w:p>
      <w:pPr>
        <w:pStyle w:val="Heading3"/>
      </w:pPr>
      <w:r>
        <w:t xml:space="preserve">Business Consultant Services</w:t>
      </w:r>
    </w:p>
    <w:p>
      <w:pPr>
        <w:pStyle w:val="FirstParagraph"/>
      </w:pPr>
      <w:r>
        <w:t xml:space="preserve">Arman Consulting Group</w:t>
      </w:r>
    </w:p>
    <w:p>
      <w:pPr>
        <w:pStyle w:val="BodyText"/>
      </w:pPr>
      <w:r>
        <w:t xml:space="preserve">Valiasr Street, Tehran, Iran</w:t>
      </w:r>
    </w:p>
    <w:p>
      <w:pPr>
        <w:pStyle w:val="BodyText"/>
      </w:pPr>
      <w:r>
        <w:t xml:space="preserve">Tel: +98-21-8876-5432</w:t>
      </w:r>
    </w:p>
    <w:p>
      <w:pPr>
        <w:pStyle w:val="BodyText"/>
      </w:pPr>
      <w:r>
        <w:t xml:space="preserve">Email: billing@armanconsulting.ir</w:t>
      </w:r>
    </w:p>
    <w:p>
      <w:pPr>
        <w:pStyle w:val="BodyText"/>
      </w:pPr>
      <w:r>
        <w:t xml:space="preserve">Registration No: 1403-IR-88214</w:t>
      </w:r>
    </w:p>
    <w:bookmarkEnd w:id="20"/>
    <w:bookmarkStart w:id="21" w:name="business-consultant-service-provider"/>
    <w:p>
      <w:pPr>
        <w:pStyle w:val="Heading4"/>
      </w:pPr>
      <w:r>
        <w:t xml:space="preserve">Business Consultant (Service Provider)</w:t>
      </w:r>
    </w:p>
    <w:p>
      <w:pPr>
        <w:pStyle w:val="FirstParagraph"/>
      </w:pPr>
      <w:r>
        <w:rPr>
          <w:bCs/>
          <w:b/>
        </w:rPr>
        <w:t xml:space="preserve">Name:</w:t>
      </w:r>
      <w:r>
        <w:t xml:space="preserve"> </w:t>
      </w:r>
      <w:r>
        <w:t xml:space="preserve">Arman Consulting Group</w:t>
      </w:r>
    </w:p>
    <w:p>
      <w:pPr>
        <w:pStyle w:val="BodyText"/>
      </w:pPr>
      <w:r>
        <w:rPr>
          <w:bCs/>
          <w:b/>
        </w:rPr>
        <w:t xml:space="preserve">Lead Consultant:</w:t>
      </w:r>
      <w:r>
        <w:t xml:space="preserve"> </w:t>
      </w:r>
      <w:r>
        <w:t xml:space="preserve">Dr. Reza Mohammadi</w:t>
      </w:r>
    </w:p>
    <w:p>
      <w:pPr>
        <w:pStyle w:val="BodyText"/>
      </w:pPr>
      <w:r>
        <w:rPr>
          <w:bCs/>
          <w:b/>
        </w:rPr>
        <w:t xml:space="preserve">Address:</w:t>
      </w:r>
      <w:r>
        <w:t xml:space="preserve"> </w:t>
      </w:r>
      <w:r>
        <w:t xml:space="preserve">42 Valiasr Street, 3rd Floor, Tehran, Iran</w:t>
      </w:r>
    </w:p>
    <w:p>
      <w:pPr>
        <w:pStyle w:val="BodyText"/>
      </w:pPr>
      <w:r>
        <w:rPr>
          <w:bCs/>
          <w:b/>
        </w:rPr>
        <w:t xml:space="preserve">Tax ID:</w:t>
      </w:r>
      <w:r>
        <w:t xml:space="preserve"> </w:t>
      </w:r>
      <w:r>
        <w:t xml:space="preserve">10284756391</w:t>
      </w:r>
    </w:p>
    <w:p>
      <w:pPr>
        <w:pStyle w:val="BodyText"/>
      </w:pPr>
      <w:r>
        <w:rPr>
          <w:bCs/>
          <w:b/>
        </w:rPr>
        <w:t xml:space="preserve">Bank:</w:t>
      </w:r>
      <w:r>
        <w:t xml:space="preserve"> </w:t>
      </w:r>
      <w:r>
        <w:t xml:space="preserve">Bank Melli Iran</w:t>
      </w:r>
    </w:p>
    <w:p>
      <w:pPr>
        <w:pStyle w:val="BodyText"/>
      </w:pPr>
      <w:r>
        <w:rPr>
          <w:bCs/>
          <w:b/>
        </w:rPr>
        <w:t xml:space="preserve">IBAN:</w:t>
      </w:r>
      <w:r>
        <w:t xml:space="preserve"> </w:t>
      </w:r>
      <w:r>
        <w:t xml:space="preserve">IR88 MELL 0000 0012 3456 7890 1234</w:t>
      </w:r>
    </w:p>
    <w:bookmarkEnd w:id="21"/>
    <w:bookmarkStart w:id="22" w:name="client-bill-to"/>
    <w:p>
      <w:pPr>
        <w:pStyle w:val="Heading4"/>
      </w:pPr>
      <w:r>
        <w:t xml:space="preserve">Client (Bill To)</w:t>
      </w:r>
    </w:p>
    <w:p>
      <w:pPr>
        <w:pStyle w:val="FirstParagraph"/>
      </w:pPr>
      <w:r>
        <w:rPr>
          <w:bCs/>
          <w:b/>
        </w:rPr>
        <w:t xml:space="preserve">Company:</w:t>
      </w:r>
      <w:r>
        <w:t xml:space="preserve"> </w:t>
      </w:r>
      <w:r>
        <w:t xml:space="preserve">Kharazmi Industrial Holdings</w:t>
      </w:r>
    </w:p>
    <w:p>
      <w:pPr>
        <w:pStyle w:val="BodyText"/>
      </w:pPr>
      <w:r>
        <w:rPr>
          <w:bCs/>
          <w:b/>
        </w:rPr>
        <w:t xml:space="preserve">Attn:</w:t>
      </w:r>
      <w:r>
        <w:t xml:space="preserve"> </w:t>
      </w:r>
      <w:r>
        <w:t xml:space="preserve">Mr. Saeed Farahani, CFO</w:t>
      </w:r>
    </w:p>
    <w:p>
      <w:pPr>
        <w:pStyle w:val="BodyText"/>
      </w:pPr>
      <w:r>
        <w:rPr>
          <w:bCs/>
          <w:b/>
        </w:rPr>
        <w:t xml:space="preserve">Address:</w:t>
      </w:r>
      <w:r>
        <w:t xml:space="preserve"> </w:t>
      </w:r>
      <w:r>
        <w:t xml:space="preserve">18 Enghelab Avenue, Tehran, Iran</w:t>
      </w:r>
    </w:p>
    <w:p>
      <w:pPr>
        <w:pStyle w:val="BodyText"/>
      </w:pPr>
      <w:r>
        <w:rPr>
          <w:bCs/>
          <w:b/>
        </w:rPr>
        <w:t xml:space="preserve">Tax ID:</w:t>
      </w:r>
      <w:r>
        <w:t xml:space="preserve"> </w:t>
      </w:r>
      <w:r>
        <w:t xml:space="preserve">10563428710</w:t>
      </w:r>
    </w:p>
    <w:p>
      <w:pPr>
        <w:pStyle w:val="BodyText"/>
      </w:pPr>
      <w:r>
        <w:rPr>
          <w:bCs/>
          <w:b/>
        </w:rPr>
        <w:t xml:space="preserve">Contact:</w:t>
      </w:r>
      <w:r>
        <w:t xml:space="preserve"> </w:t>
      </w:r>
      <w:r>
        <w:t xml:space="preserve">finance@kharazmi-industrial.ir</w:t>
      </w:r>
    </w:p>
    <w:bookmarkEnd w:id="22"/>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Strategic Business Planning &amp; Market Analysis for Iran Tehran commercial sector</w:t>
            </w:r>
          </w:p>
        </w:tc>
        <w:tc>
          <w:tcPr/>
          <w:p>
            <w:pPr>
              <w:pStyle w:val="Compact"/>
              <w:jc w:val="left"/>
            </w:pPr>
            <w:r>
              <w:t xml:space="preserve">40 hours</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t xml:space="preserve">Operational Efficiency Audit &amp; Process Optimization Consulting</w:t>
            </w:r>
          </w:p>
        </w:tc>
        <w:tc>
          <w:tcPr/>
          <w:p>
            <w:pPr>
              <w:pStyle w:val="Compact"/>
              <w:jc w:val="left"/>
            </w:pPr>
            <w:r>
              <w:t xml:space="preserve">32 hours</w:t>
            </w:r>
          </w:p>
        </w:tc>
        <w:tc>
          <w:tcPr/>
          <w:p>
            <w:pPr>
              <w:pStyle w:val="Compact"/>
              <w:jc w:val="left"/>
            </w:pPr>
            <w:r>
              <w:t xml:space="preserve">$120.00</w:t>
            </w:r>
          </w:p>
        </w:tc>
        <w:tc>
          <w:tcPr/>
          <w:p>
            <w:pPr>
              <w:pStyle w:val="Compact"/>
              <w:jc w:val="left"/>
            </w:pPr>
            <w:r>
              <w:t xml:space="preserve">$3,840.00</w:t>
            </w:r>
          </w:p>
        </w:tc>
      </w:tr>
      <w:tr>
        <w:tc>
          <w:tcPr/>
          <w:p>
            <w:pPr>
              <w:pStyle w:val="Compact"/>
              <w:jc w:val="left"/>
            </w:pPr>
            <w:r>
              <w:t xml:space="preserve">3</w:t>
            </w:r>
          </w:p>
        </w:tc>
        <w:tc>
          <w:tcPr/>
          <w:p>
            <w:pPr>
              <w:pStyle w:val="Compact"/>
              <w:jc w:val="left"/>
            </w:pPr>
            <w:r>
              <w:t xml:space="preserve">Supply Chain Restructuring for Tehran-based Manufacturing Division</w:t>
            </w:r>
          </w:p>
        </w:tc>
        <w:tc>
          <w:tcPr/>
          <w:p>
            <w:pPr>
              <w:pStyle w:val="Compact"/>
              <w:jc w:val="left"/>
            </w:pPr>
            <w:r>
              <w:t xml:space="preserve">28 hours</w:t>
            </w:r>
          </w:p>
        </w:tc>
        <w:tc>
          <w:tcPr/>
          <w:p>
            <w:pPr>
              <w:pStyle w:val="Compact"/>
              <w:jc w:val="left"/>
            </w:pPr>
            <w:r>
              <w:t xml:space="preserve">$135.00</w:t>
            </w:r>
          </w:p>
        </w:tc>
        <w:tc>
          <w:tcPr/>
          <w:p>
            <w:pPr>
              <w:pStyle w:val="Compact"/>
              <w:jc w:val="left"/>
            </w:pPr>
            <w:r>
              <w:t xml:space="preserve">$3,780.00</w:t>
            </w:r>
          </w:p>
        </w:tc>
      </w:tr>
      <w:tr>
        <w:tc>
          <w:tcPr/>
          <w:p>
            <w:pPr>
              <w:pStyle w:val="Compact"/>
              <w:jc w:val="left"/>
            </w:pPr>
            <w:r>
              <w:t xml:space="preserve">4</w:t>
            </w:r>
          </w:p>
        </w:tc>
        <w:tc>
          <w:tcPr/>
          <w:p>
            <w:pPr>
              <w:pStyle w:val="Compact"/>
              <w:jc w:val="left"/>
            </w:pPr>
            <w:r>
              <w:t xml:space="preserve">Financial Modeling &amp; Investment Feasibility Study (Iran Tehran Market)</w:t>
            </w:r>
          </w:p>
        </w:tc>
        <w:tc>
          <w:tcPr/>
          <w:p>
            <w:pPr>
              <w:pStyle w:val="Compact"/>
              <w:jc w:val="left"/>
            </w:pPr>
            <w:r>
              <w:t xml:space="preserve">24 hours</w:t>
            </w:r>
          </w:p>
        </w:tc>
        <w:tc>
          <w:tcPr/>
          <w:p>
            <w:pPr>
              <w:pStyle w:val="Compact"/>
              <w:jc w:val="left"/>
            </w:pPr>
            <w:r>
              <w:t xml:space="preserve">$140.00</w:t>
            </w:r>
          </w:p>
        </w:tc>
        <w:tc>
          <w:tcPr/>
          <w:p>
            <w:pPr>
              <w:pStyle w:val="Compact"/>
              <w:jc w:val="left"/>
            </w:pPr>
            <w:r>
              <w:t xml:space="preserve">$3,360.00</w:t>
            </w:r>
          </w:p>
        </w:tc>
      </w:tr>
      <w:tr>
        <w:tc>
          <w:tcPr/>
          <w:p>
            <w:pPr>
              <w:pStyle w:val="Compact"/>
              <w:jc w:val="left"/>
            </w:pPr>
            <w:r>
              <w:t xml:space="preserve">5</w:t>
            </w:r>
          </w:p>
        </w:tc>
        <w:tc>
          <w:tcPr/>
          <w:p>
            <w:pPr>
              <w:pStyle w:val="Compact"/>
              <w:jc w:val="left"/>
            </w:pPr>
            <w:r>
              <w:t xml:space="preserve">Executive Leadership Training &amp; Organizational Development Workshop</w:t>
            </w:r>
          </w:p>
        </w:tc>
        <w:tc>
          <w:tcPr/>
          <w:p>
            <w:pPr>
              <w:pStyle w:val="Compact"/>
              <w:jc w:val="left"/>
            </w:pPr>
            <w:r>
              <w:t xml:space="preserve">16 hours</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6</w:t>
            </w:r>
          </w:p>
        </w:tc>
        <w:tc>
          <w:tcPr/>
          <w:p>
            <w:pPr>
              <w:pStyle w:val="Compact"/>
              <w:jc w:val="left"/>
            </w:pPr>
            <w:r>
              <w:t xml:space="preserve">Regulatory Compliance Advisory – Iranian Commercial Law &amp; Trade Regulations</w:t>
            </w:r>
          </w:p>
        </w:tc>
        <w:tc>
          <w:tcPr/>
          <w:p>
            <w:pPr>
              <w:pStyle w:val="Compact"/>
              <w:jc w:val="left"/>
            </w:pPr>
            <w:r>
              <w:t xml:space="preserve">12 hours</w:t>
            </w:r>
          </w:p>
        </w:tc>
        <w:tc>
          <w:tcPr/>
          <w:p>
            <w:pPr>
              <w:pStyle w:val="Compact"/>
              <w:jc w:val="left"/>
            </w:pPr>
            <w:r>
              <w:t xml:space="preserve">$130.00</w:t>
            </w:r>
          </w:p>
        </w:tc>
        <w:tc>
          <w:tcPr/>
          <w:p>
            <w:pPr>
              <w:pStyle w:val="Compact"/>
              <w:jc w:val="left"/>
            </w:pPr>
            <w:r>
              <w:t xml:space="preserve">$1,560.00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$19,740.00</w:t>
            </w:r>
          </w:p>
        </w:tc>
      </w:tr>
      <w:tr>
        <w:tc>
          <w:tcPr/>
          <w:p>
            <w:pPr>
              <w:pStyle w:val="Compact"/>
              <w:jc w:val="left"/>
            </w:pPr>
            <w:r>
              <w:t xml:space="preserve">VAT (9% – Iran Standard Rate)</w:t>
            </w:r>
          </w:p>
        </w:tc>
        <w:tc>
          <w:tcPr/>
          <w:p>
            <w:pPr>
              <w:pStyle w:val="Compact"/>
              <w:jc w:val="right"/>
            </w:pPr>
            <w:r>
              <w:t xml:space="preserve">$1,776.60</w:t>
            </w:r>
          </w:p>
        </w:tc>
      </w:tr>
      <w:tr>
        <w:tc>
          <w:tcPr/>
          <w:p>
            <w:pPr>
              <w:pStyle w:val="Compact"/>
              <w:jc w:val="left"/>
            </w:pPr>
            <w:r>
              <w:t xml:space="preserve">Travel &amp; On-site Expenses (Tehran)</w:t>
            </w:r>
          </w:p>
        </w:tc>
        <w:tc>
          <w:tcPr/>
          <w:p>
            <w:pPr>
              <w:pStyle w:val="Compact"/>
              <w:jc w:val="right"/>
            </w:pPr>
            <w:r>
              <w:t xml:space="preserve">$420.00</w:t>
            </w:r>
          </w:p>
        </w:tc>
      </w:tr>
      <w:tr>
        <w:tc>
          <w:tcPr/>
          <w:p>
            <w:pPr>
              <w:pStyle w:val="Compact"/>
              <w:jc w:val="left"/>
            </w:pPr>
            <w:r>
              <w:t xml:space="preserve">Discount (Early Payment – 5%)</w:t>
            </w:r>
          </w:p>
        </w:tc>
        <w:tc>
          <w:tcPr/>
          <w:p>
            <w:pPr>
              <w:pStyle w:val="Compact"/>
              <w:jc w:val="right"/>
            </w:pPr>
            <w:r>
              <w:t xml:space="preserve">-$1,114.83</w:t>
            </w:r>
          </w:p>
        </w:tc>
      </w:tr>
      <w:tr>
        <w:tc>
          <w:tcPr/>
          <w:p>
            <w:pPr>
              <w:pStyle w:val="Compact"/>
              <w:jc w:val="left"/>
            </w:pPr>
            <w:r>
              <w:t xml:space="preserve">TOTAL AMOUNT DUE</w:t>
            </w:r>
          </w:p>
        </w:tc>
        <w:tc>
          <w:tcPr/>
          <w:p>
            <w:pPr>
              <w:pStyle w:val="Compact"/>
              <w:jc w:val="right"/>
            </w:pPr>
            <w:r>
              <w:t xml:space="preserve">$20,821.77</w:t>
            </w:r>
          </w:p>
        </w:tc>
      </w:tr>
    </w:tbl>
    <w:bookmarkStart w:id="23" w:name="X0405503c7caaa4d404bdee53b96ffed97f8d3e3"/>
    <w:p>
      <w:pPr>
        <w:pStyle w:val="Heading4"/>
      </w:pPr>
      <w:r>
        <w:t xml:space="preserve">Invoice Notes &amp; Business Consultant Advisory Remarks</w:t>
      </w:r>
    </w:p>
    <w:p>
      <w:pPr>
        <w:pStyle w:val="FirstParagraph"/>
      </w:pPr>
      <w:r>
        <w:t xml:space="preserve">This Invoice has been prepared by Arman Consulting Group, a licensed Business Consultant firm operating in Iran Tehran, in accordance with the Iranian Commercial Code and the regulations set forth by the Iranian National Tax Administration. All services rendered under this Invoice were conducted in full compliance with local business practices and professional standards applicable to the Iran Tehran metropolitan area.</w:t>
      </w:r>
    </w:p>
    <w:p>
      <w:pPr>
        <w:pStyle w:val="BodyText"/>
      </w:pPr>
      <w:r>
        <w:t xml:space="preserve">The Business Consultant engaged under this engagement provided specialized advisory services tailored to the unique economic landscape of Iran Tehran, including considerations related to import-export regulations, local market dynamics, and the specific operational challenges faced by industrial enterprises headquartered in the Tehran region.</w:t>
      </w:r>
    </w:p>
    <w:p>
      <w:pPr>
        <w:pStyle w:val="BodyText"/>
      </w:pPr>
      <w:r>
        <w:t xml:space="preserve">Payment for this Invoice is expected within thirty (30) calendar days from the date of issue. The Business Consultant reserves the right to suspend ongoing advisory services if payment is not received by the stated due date. All amounts are denominated in United States Dollars (USD) as agreed upon in the master service agreement, with conversion to Iranian Rials (IRR) to be calculated at the Central Bank of Iran's official exchange rate on the date of payment.</w:t>
      </w:r>
    </w:p>
    <w:p>
      <w:pPr>
        <w:pStyle w:val="BodyText"/>
      </w:pPr>
      <w:r>
        <w:t xml:space="preserve">Please reference Invoice No. BCS-IR-2025-0047 in all correspondence and payment remittances. Direct any inquiries regarding this Invoice to the billing department of Arman Consulting Group in Tehran, Iran.</w:t>
      </w:r>
    </w:p>
    <w:bookmarkEnd w:id="23"/>
    <w:bookmarkStart w:id="24" w:name="terms-conditions"/>
    <w:p>
      <w:pPr>
        <w:pStyle w:val="Heading4"/>
      </w:pPr>
      <w:r>
        <w:t xml:space="preserve">Terms &amp; Conditions</w:t>
      </w:r>
    </w:p>
    <w:p>
      <w:pPr>
        <w:pStyle w:val="FirstParagraph"/>
      </w:pPr>
      <w:r>
        <w:t xml:space="preserve">1. This Invoice constitutes a formal request for payment for Business Consultant services rendered in Iran Tehran between May 1, 2025, and June 10, 2025, as detailed in the line items above.</w:t>
      </w:r>
    </w:p>
    <w:p>
      <w:pPr>
        <w:pStyle w:val="BodyText"/>
      </w:pPr>
      <w:r>
        <w:t xml:space="preserve">2. The Business Consultant, Arman Consulting Group, warrants that all professional services described in this Invoice were performed with due diligence, professional competence, and in accordance with the ethical standards of the Iranian Business Consulting Association.</w:t>
      </w:r>
    </w:p>
    <w:p>
      <w:pPr>
        <w:pStyle w:val="BodyText"/>
      </w:pPr>
      <w:r>
        <w:t xml:space="preserve">3. Late payments on this Invoice shall incur a penalty of 1.5% per month, calculated from the due date, in accordance with Iranian commercial law provisions governing overdue invoices.</w:t>
      </w:r>
    </w:p>
    <w:p>
      <w:pPr>
        <w:pStyle w:val="BodyText"/>
      </w:pPr>
      <w:r>
        <w:t xml:space="preserve">4. All intellectual property, reports, strategic plans, and analytical documents produced by the Business Consultant during the engagement period remain the exclusive property of the client upon full settlement of this Invoice.</w:t>
      </w:r>
    </w:p>
    <w:p>
      <w:pPr>
        <w:pStyle w:val="BodyText"/>
      </w:pPr>
      <w:r>
        <w:t xml:space="preserve">5. Disputes arising from this Invoice shall be resolved through arbitration in Tehran, Iran, in accordance with the rules of the Tehran Regional Arbitration Center (TRAC).</w:t>
      </w:r>
    </w:p>
    <w:p>
      <w:pPr>
        <w:pStyle w:val="BodyText"/>
      </w:pPr>
      <w:r>
        <w:t xml:space="preserve">6. This Invoice is valid for a period of ninety (90) days from the date of issue. After this period, the Business Consultant reserves the right to reissue the Invoice with updated rates and applicable surcharges.</w:t>
      </w:r>
    </w:p>
    <w:p>
      <w:pPr>
        <w:pStyle w:val="BodyText"/>
      </w:pPr>
      <w:r>
        <w:t xml:space="preserve">7. The Business Consultant confirms that all services were delivered in the Iran Tehran jurisdiction and are subject to the tax obligations and regulatory requirements of the Islamic Republic of Iran.</w:t>
      </w:r>
    </w:p>
    <w:bookmarkEnd w:id="24"/>
    <w:p>
      <w:pPr>
        <w:pStyle w:val="BodyText"/>
      </w:pPr>
      <w:r>
        <w:rPr>
          <w:bCs/>
          <w:b/>
        </w:rPr>
        <w:t xml:space="preserve">Arman Consulting Group</w:t>
      </w:r>
      <w:r>
        <w:t xml:space="preserve"> </w:t>
      </w:r>
      <w:r>
        <w:t xml:space="preserve">| Business Consultant | Iran Tehran</w:t>
      </w:r>
    </w:p>
    <w:p>
      <w:pPr>
        <w:pStyle w:val="BodyText"/>
      </w:pPr>
      <w:r>
        <w:t xml:space="preserve">42 Valiasr Street, 3rd Floor, Tehran 11365, Islamic Republic of Iran</w:t>
      </w:r>
    </w:p>
    <w:p>
      <w:pPr>
        <w:pStyle w:val="BodyText"/>
      </w:pPr>
      <w:r>
        <w:t xml:space="preserve">Tel: +98-21-8876-5432 | Email: billing@armanconsulting.ir | Web: www.armanconsulting.ir</w:t>
      </w:r>
    </w:p>
    <w:p>
      <w:pPr>
        <w:pStyle w:val="BodyText"/>
      </w:pPr>
      <w:r>
        <w:t xml:space="preserve">This Invoice was generated electronically and is valid without a physical signature. For verification, contact the issuing Business Consultant office in Tehran, Iran.</w:t>
      </w:r>
    </w:p>
    <w:p>
      <w:pPr>
        <w:pStyle w:val="BodyText"/>
      </w:pPr>
      <w:r>
        <w:t xml:space="preserve">© 2025 Arman Consulting Group. All rights reserved. Invoice BCS-IR-2025-0047.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Iran Tehran</dc:title>
  <dc:creator/>
  <dc:language>en</dc:language>
  <cp:keywords/>
  <dcterms:created xsi:type="dcterms:W3CDTF">2026-10-10T05:11:58Z</dcterms:created>
  <dcterms:modified xsi:type="dcterms:W3CDTF">2026-10-10T05:11:58Z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