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business-consulting-group"/>
    <w:p>
      <w:pPr>
        <w:pStyle w:val="Heading1"/>
      </w:pPr>
      <w:r>
        <w:t xml:space="preserve">Al-Rafidain Business Consulting Group</w:t>
      </w:r>
    </w:p>
    <w:p>
      <w:pPr>
        <w:pStyle w:val="FirstParagraph"/>
      </w:pPr>
      <w:r>
        <w:t xml:space="preserve">Professional Business Consultant Services</w:t>
      </w:r>
    </w:p>
    <w:p>
      <w:pPr>
        <w:pStyle w:val="BodyText"/>
      </w:pPr>
      <w:r>
        <w:t xml:space="preserve">Office 42, Al-Mansour Business Tower</w:t>
      </w:r>
    </w:p>
    <w:p>
      <w:pPr>
        <w:pStyle w:val="BodyText"/>
      </w:pPr>
      <w:r>
        <w:t xml:space="preserve">Al-Mansour District, Iraq Baghdad</w:t>
      </w:r>
    </w:p>
    <w:p>
      <w:pPr>
        <w:pStyle w:val="BodyText"/>
      </w:pPr>
      <w:r>
        <w:t xml:space="preserve">Tel: +964 770 123 4567 | Email: billing@alrafidainconsulting.iq</w:t>
      </w:r>
    </w:p>
    <w:p>
      <w:pPr>
        <w:pStyle w:val="BodyText"/>
      </w:pPr>
      <w:r>
        <w:t xml:space="preserve">Commercial Registration No: IQ-BC-2024-08841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ARBC-2025-00472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client"/>
    <w:p>
      <w:pPr>
        <w:pStyle w:val="Heading3"/>
      </w:pPr>
      <w:r>
        <w:t xml:space="preserve">Bill To (Client)</w:t>
      </w:r>
    </w:p>
    <w:p>
      <w:pPr>
        <w:pStyle w:val="FirstParagraph"/>
      </w:pPr>
      <w:r>
        <w:t xml:space="preserve">Mesopotamia Industrial Holdings Co.</w:t>
      </w:r>
    </w:p>
    <w:p>
      <w:pPr>
        <w:pStyle w:val="BodyText"/>
      </w:pPr>
      <w:r>
        <w:t xml:space="preserve">Attn: Mr. Khalid Al-Rashid, Chief Executive Officer</w:t>
      </w:r>
    </w:p>
    <w:p>
      <w:pPr>
        <w:pStyle w:val="BodyText"/>
      </w:pPr>
      <w:r>
        <w:t xml:space="preserve">Headquarters, Al-Karrada Commercial Zone</w:t>
      </w:r>
    </w:p>
    <w:p>
      <w:pPr>
        <w:pStyle w:val="BodyText"/>
      </w:pPr>
      <w:r>
        <w:t xml:space="preserve">Iraq Baghdad, 10011</w:t>
      </w:r>
    </w:p>
    <w:p>
      <w:pPr>
        <w:pStyle w:val="BodyText"/>
      </w:pPr>
      <w:r>
        <w:t xml:space="preserve">Tax ID: IQ-TIN-7782345</w:t>
      </w:r>
    </w:p>
    <w:p>
      <w:pPr>
        <w:pStyle w:val="BodyText"/>
      </w:pPr>
      <w:r>
        <w:t xml:space="preserve">Email: finance@mesopotamia-industrial.iq</w:t>
      </w:r>
    </w:p>
    <w:bookmarkEnd w:id="22"/>
    <w:bookmarkStart w:id="23" w:name="prepared-by-business-consultant"/>
    <w:p>
      <w:pPr>
        <w:pStyle w:val="Heading3"/>
      </w:pPr>
      <w:r>
        <w:t xml:space="preserve">Prepared By (Business Consultant)</w:t>
      </w:r>
    </w:p>
    <w:p>
      <w:pPr>
        <w:pStyle w:val="FirstParagraph"/>
      </w:pPr>
      <w:r>
        <w:t xml:space="preserve">Dr. Layla Al-Hassan</w:t>
      </w:r>
    </w:p>
    <w:p>
      <w:pPr>
        <w:pStyle w:val="BodyText"/>
      </w:pPr>
      <w:r>
        <w:t xml:space="preserve">Senior Business Consultant &amp; Engagement Lead</w:t>
      </w:r>
    </w:p>
    <w:p>
      <w:pPr>
        <w:pStyle w:val="BodyText"/>
      </w:pPr>
      <w:r>
        <w:t xml:space="preserve">Al-Rafidain Business Consulting Group</w:t>
      </w:r>
    </w:p>
    <w:p>
      <w:pPr>
        <w:pStyle w:val="BodyText"/>
      </w:pPr>
      <w:r>
        <w:t xml:space="preserve">Iraq Baghdad</w:t>
      </w:r>
    </w:p>
    <w:p>
      <w:pPr>
        <w:pStyle w:val="BodyText"/>
      </w:pPr>
      <w:r>
        <w:t xml:space="preserve">License No: IQ-BC-LIC-2019-0342</w:t>
      </w:r>
    </w:p>
    <w:p>
      <w:pPr>
        <w:pStyle w:val="BodyText"/>
      </w:pPr>
      <w:r>
        <w:t xml:space="preserve">Email: l.alhassan@alrafidainconsulting.iq</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Strategic Business Planning &amp; Market Analysis for Iraq Baghdad industrial sector. Includes competitive landscape assessment, SWOT analysis, and five-year growth roadmap development.</w:t>
            </w:r>
          </w:p>
        </w:tc>
        <w:tc>
          <w:tcPr/>
          <w:p>
            <w:pPr>
              <w:pStyle w:val="Compact"/>
              <w:jc w:val="left"/>
            </w:pPr>
            <w:r>
              <w:t xml:space="preserve">40 hrs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Operational Efficiency Audit &amp; Process Re-engineering. Comprehensive review of supply chain logistics, production workflows, and quality control systems across all Iraq Baghdad facilities.</w:t>
            </w:r>
          </w:p>
        </w:tc>
        <w:tc>
          <w:tcPr/>
          <w:p>
            <w:pPr>
              <w:pStyle w:val="Compact"/>
              <w:jc w:val="left"/>
            </w:pPr>
            <w:r>
              <w:t xml:space="preserve">32 hrs</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Financial Restructuring Advisory &amp; Cash Flow Optimization. Detailed analysis of capital allocation, debt restructuring options, and working capital management strategies tailored to the Iraqi market environment.</w:t>
            </w:r>
          </w:p>
        </w:tc>
        <w:tc>
          <w:tcPr/>
          <w:p>
            <w:pPr>
              <w:pStyle w:val="Compact"/>
              <w:jc w:val="left"/>
            </w:pPr>
            <w:r>
              <w:t xml:space="preserve">24 hrs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Human Resource Development &amp; Organizational Change Management. Design of leadership training programs, performance evaluation frameworks, and change management communication plans for executive teams.</w:t>
            </w:r>
          </w:p>
        </w:tc>
        <w:tc>
          <w:tcPr/>
          <w:p>
            <w:pPr>
              <w:pStyle w:val="Compact"/>
              <w:jc w:val="left"/>
            </w:pPr>
            <w:r>
              <w:t xml:space="preserve">20 hrs</w:t>
            </w:r>
          </w:p>
        </w:tc>
        <w:tc>
          <w:tcPr/>
          <w:p>
            <w:pPr>
              <w:pStyle w:val="Compact"/>
              <w:jc w:val="left"/>
            </w:pPr>
            <w:r>
              <w:t xml:space="preserve">80,000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Digital Transformation Strategy &amp; Technology Integration Roadmap. Assessment of current IT infrastructure, recommendation of ERP systems, and phased implementation plan for Iraq Baghdad operations.</w:t>
            </w:r>
          </w:p>
        </w:tc>
        <w:tc>
          <w:tcPr/>
          <w:p>
            <w:pPr>
              <w:pStyle w:val="Compact"/>
              <w:jc w:val="left"/>
            </w:pPr>
            <w:r>
              <w:t xml:space="preserve">16 hrs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Regulatory Compliance &amp; Government Relations Advisory. Guidance on Iraqi commercial law, tax obligations, import/export regulations, and liaison support with Iraq Baghdad municipal and federal authorities.</w:t>
            </w:r>
          </w:p>
        </w:tc>
        <w:tc>
          <w:tcPr/>
          <w:p>
            <w:pPr>
              <w:pStyle w:val="Compact"/>
              <w:jc w:val="left"/>
            </w:pPr>
            <w:r>
              <w:t xml:space="preserve">12 hrs</w:t>
            </w:r>
          </w:p>
        </w:tc>
        <w:tc>
          <w:tcPr/>
          <w:p>
            <w:pPr>
              <w:pStyle w:val="Compact"/>
              <w:jc w:val="left"/>
            </w:pPr>
            <w:r>
              <w:t xml:space="preserve">90,000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Client Presentation, Final Report Delivery &amp; Executive Briefing Session. Compilation of all findings, recommendations, and actionable deliverables presented to the board of directors in Iraq Baghdad.</w:t>
            </w:r>
          </w:p>
        </w:tc>
        <w:tc>
          <w:tcPr/>
          <w:p>
            <w:pPr>
              <w:pStyle w:val="Compact"/>
              <w:jc w:val="left"/>
            </w:pPr>
            <w:r>
              <w:t xml:space="preserve">8 hrs</w:t>
            </w:r>
          </w:p>
        </w:tc>
        <w:tc>
          <w:tcPr/>
          <w:p>
            <w:pPr>
              <w:pStyle w:val="Compact"/>
              <w:jc w:val="left"/>
            </w:pPr>
            <w:r>
              <w:t xml:space="preserve">100,000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13,400,000 IQD</w:t>
            </w:r>
          </w:p>
        </w:tc>
      </w:tr>
      <w:tr>
        <w:tc>
          <w:tcPr/>
          <w:p>
            <w:pPr>
              <w:pStyle w:val="Compact"/>
              <w:jc w:val="left"/>
            </w:pPr>
            <w:r>
              <w:t xml:space="preserve">VAT (5% – Iraq Standard Rate)</w:t>
            </w:r>
          </w:p>
        </w:tc>
        <w:tc>
          <w:tcPr/>
          <w:p>
            <w:pPr>
              <w:pStyle w:val="Compact"/>
              <w:jc w:val="left"/>
            </w:pPr>
            <w:r>
              <w:t xml:space="preserve">670,000 IQD</w:t>
            </w:r>
          </w:p>
        </w:tc>
      </w:tr>
      <w:tr>
        <w:tc>
          <w:tcPr/>
          <w:p>
            <w:pPr>
              <w:pStyle w:val="Compact"/>
              <w:jc w:val="left"/>
            </w:pPr>
            <w:r>
              <w:t xml:space="preserve">Travel &amp; Accommodation (Iraq Baghdad)</w:t>
            </w:r>
          </w:p>
        </w:tc>
        <w:tc>
          <w:tcPr/>
          <w:p>
            <w:pPr>
              <w:pStyle w:val="Compact"/>
              <w:jc w:val="left"/>
            </w:pPr>
            <w:r>
              <w:t xml:space="preserve">450,000 IQD</w:t>
            </w:r>
          </w:p>
        </w:tc>
      </w:tr>
      <w:tr>
        <w:tc>
          <w:tcPr/>
          <w:p>
            <w:pPr>
              <w:pStyle w:val="Compact"/>
              <w:jc w:val="left"/>
            </w:pPr>
            <w:r>
              <w:t xml:space="preserve">Discount (Early Payment – 3%)</w:t>
            </w:r>
          </w:p>
        </w:tc>
        <w:tc>
          <w:tcPr/>
          <w:p>
            <w:pPr>
              <w:pStyle w:val="Compact"/>
              <w:jc w:val="left"/>
            </w:pPr>
            <w:r>
              <w:t xml:space="preserve">(402,000) IQD</w:t>
            </w:r>
          </w:p>
        </w:tc>
      </w:tr>
      <w:tr>
        <w:tc>
          <w:tcPr/>
          <w:p>
            <w:pPr>
              <w:pStyle w:val="Compact"/>
              <w:jc w:val="left"/>
            </w:pPr>
            <w:r>
              <w:t xml:space="preserve">GRAND TOTAL DUE</w:t>
            </w:r>
          </w:p>
        </w:tc>
        <w:tc>
          <w:tcPr/>
          <w:p>
            <w:pPr>
              <w:pStyle w:val="Compact"/>
              <w:jc w:val="left"/>
            </w:pPr>
            <w:r>
              <w:t xml:space="preserve">14,118,000 IQD</w:t>
            </w:r>
          </w:p>
        </w:tc>
      </w:tr>
    </w:tbl>
    <w:bookmarkStart w:id="24" w:name="invoice-notes-payment-instructions"/>
    <w:p>
      <w:pPr>
        <w:pStyle w:val="Heading3"/>
      </w:pPr>
      <w:r>
        <w:t xml:space="preserve">Invoice Notes &amp; Payment Instructions</w:t>
      </w:r>
    </w:p>
    <w:p>
      <w:pPr>
        <w:pStyle w:val="FirstParagraph"/>
      </w:pPr>
      <w:r>
        <w:t xml:space="preserve">This Invoice is issued by Al-Rafidain Business Consulting Group, a registered Business Consultant firm operating in Iraq Baghdad, in accordance with the engagement contract signed on 28 April 2025 (Contract Ref: ARBC-ENG-2025-019).</w:t>
      </w:r>
    </w:p>
    <w:p>
      <w:pPr>
        <w:pStyle w:val="BodyText"/>
      </w:pPr>
      <w:r>
        <w:rPr>
          <w:bCs/>
          <w:b/>
        </w:rPr>
        <w:t xml:space="preserve">Payment Method:</w:t>
      </w:r>
      <w:r>
        <w:t xml:space="preserve"> </w:t>
      </w:r>
      <w:r>
        <w:t xml:space="preserve">Bank Transfer to Al-Rafidain Business Consulting Group, Bank of Baghdad, Branch: Al-Mansour, Account No: 0042-8871-2234-5567, SWIFT: BKBGIQBB. Please reference Invoice No. ARBC-2025-00472 in all payment communications.</w:t>
      </w:r>
    </w:p>
    <w:p>
      <w:pPr>
        <w:pStyle w:val="BodyText"/>
      </w:pPr>
      <w:r>
        <w:rPr>
          <w:bCs/>
          <w:b/>
        </w:rPr>
        <w:t xml:space="preserve">Currency:</w:t>
      </w:r>
      <w:r>
        <w:t xml:space="preserve"> </w:t>
      </w:r>
      <w:r>
        <w:t xml:space="preserve">All amounts are denominated in Iraqi Dinar (IQD). For international remittances, the equivalent amount in USD shall be calculated at the Central Bank of Iraq (CBI) reference rate on the date of payment.</w:t>
      </w:r>
    </w:p>
    <w:p>
      <w:pPr>
        <w:pStyle w:val="BodyText"/>
      </w:pPr>
      <w:r>
        <w:rPr>
          <w:bCs/>
          <w:b/>
        </w:rPr>
        <w:t xml:space="preserve">Payment Deadline:</w:t>
      </w:r>
      <w:r>
        <w:t xml:space="preserve"> </w:t>
      </w:r>
      <w:r>
        <w:t xml:space="preserve">Full payment of this Invoice is due within 15 calendar days from the issue date. Late payments shall incur a penalty of 1.5% per month as stipulated in the master service agreement.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constitutes a formal request for payment for Business Consultant services rendered by Al-Rafidain Business Consulting Group to Mesopotamia Industrial Holdings Co. during the service period specified above.</w:t>
      </w:r>
    </w:p>
    <w:p>
      <w:pPr>
        <w:numPr>
          <w:ilvl w:val="0"/>
          <w:numId w:val="1001"/>
        </w:numPr>
        <w:pStyle w:val="Compact"/>
      </w:pPr>
      <w:r>
        <w:t xml:space="preserve">All deliverables, reports, strategic plans, and intellectual property produced by the Business Consultant during the engagement period remain the exclusive property of the client upon full and final settlement of this Invoice.</w:t>
      </w:r>
    </w:p>
    <w:p>
      <w:pPr>
        <w:numPr>
          <w:ilvl w:val="0"/>
          <w:numId w:val="1001"/>
        </w:numPr>
        <w:pStyle w:val="Compact"/>
      </w:pPr>
      <w:r>
        <w:t xml:space="preserve">The Business Consultant warrants that all services were performed in full compliance with Iraqi commercial law, professional ethical standards, and the specific terms outlined in the master service agreement governing this engagement in Iraq Baghdad.</w:t>
      </w:r>
    </w:p>
    <w:p>
      <w:pPr>
        <w:numPr>
          <w:ilvl w:val="0"/>
          <w:numId w:val="1001"/>
        </w:numPr>
        <w:pStyle w:val="Compact"/>
      </w:pPr>
      <w:r>
        <w:t xml:space="preserve">Any disputes arising from this Invoice shall be resolved through amicable negotiation. Should negotiation fail, the matter shall be referred to the competent commercial court in Iraq Baghdad in accordance with Iraqi civil and commercial procedure law.</w:t>
      </w:r>
    </w:p>
    <w:p>
      <w:pPr>
        <w:numPr>
          <w:ilvl w:val="0"/>
          <w:numId w:val="1001"/>
        </w:numPr>
        <w:pStyle w:val="Compact"/>
      </w:pPr>
      <w:r>
        <w:t xml:space="preserve">This Invoice is valid for 90 days from the issue date. After this period, the Business Consultant reserves the right to reissue the Invoice with updated rates and applicable surcharges.</w:t>
      </w:r>
    </w:p>
    <w:p>
      <w:pPr>
        <w:numPr>
          <w:ilvl w:val="0"/>
          <w:numId w:val="1001"/>
        </w:numPr>
        <w:pStyle w:val="Compact"/>
      </w:pPr>
      <w:r>
        <w:t xml:space="preserve">Confidentiality obligations as defined in the Non-Disclosure Agreement (NDA) signed concurrently with the engagement contract remain in full force and effect, independent of the payment status of this Invoice.</w:t>
      </w:r>
    </w:p>
    <w:p>
      <w:pPr>
        <w:numPr>
          <w:ilvl w:val="0"/>
          <w:numId w:val="1001"/>
        </w:numPr>
        <w:pStyle w:val="Compact"/>
      </w:pPr>
      <w:r>
        <w:t xml:space="preserve">The Business Consultant shall provide a 30-day post-engagement support window for clarification of any findings or recommendations contained in the final deliverables, at no additional charge to the client.</w:t>
      </w:r>
    </w:p>
    <w:bookmarkEnd w:id="25"/>
    <w:p>
      <w:pPr>
        <w:pStyle w:val="FirstParagraph"/>
      </w:pPr>
      <w:r>
        <w:rPr>
          <w:bCs/>
          <w:b/>
        </w:rPr>
        <w:t xml:space="preserve">Al-Rafidain Business Consulting Group</w:t>
      </w:r>
      <w:r>
        <w:t xml:space="preserve"> </w:t>
      </w:r>
      <w:r>
        <w:t xml:space="preserve">– Professional Business Consultant Services in Iraq Baghdad</w:t>
      </w:r>
    </w:p>
    <w:p>
      <w:pPr>
        <w:pStyle w:val="BodyText"/>
      </w:pPr>
      <w:r>
        <w:t xml:space="preserve">Office 42, Al-Mansour Business Tower, Al-Mansour District, Iraq Baghdad | Tel: +964 770 123 4567</w:t>
      </w:r>
    </w:p>
    <w:p>
      <w:pPr>
        <w:pStyle w:val="BodyText"/>
      </w:pPr>
      <w:r>
        <w:t xml:space="preserve">Commercial Registration: IQ-BC-2024-08841 | VAT Registration: IQ-VAT-2023-55678</w:t>
      </w:r>
    </w:p>
    <w:p>
      <w:pPr>
        <w:pStyle w:val="BodyText"/>
      </w:pPr>
      <w:r>
        <w:t xml:space="preserve">This is a computer-generated Invoice and does not require a physical signature. For authentication, please verify the Invoice number via our client portal at www.alrafidainconsulting.iq/invoice-verification.</w:t>
      </w:r>
    </w:p>
    <w:p>
      <w:pPr>
        <w:pStyle w:val="BodyText"/>
      </w:pPr>
      <w:r>
        <w:t xml:space="preserve">Thank you for choosing our Business Consultant services. We value your partnership and look forward to continuing our professional relationship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Iraq Baghdad</dc:title>
  <dc:creator/>
  <dc:language>en</dc:language>
  <cp:keywords/>
  <dcterms:created xsi:type="dcterms:W3CDTF">2026-10-10T01:58:27Z</dcterms:created>
  <dcterms:modified xsi:type="dcterms:W3CDTF">2026-10-10T01:58:27Z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