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strategic-vision-consulting-ltd."/>
    <w:p>
      <w:pPr>
        <w:pStyle w:val="Heading1"/>
      </w:pPr>
      <w:r>
        <w:t xml:space="preserve">Strategic Vision Consulting Ltd.</w:t>
      </w:r>
    </w:p>
    <w:p>
      <w:pPr>
        <w:pStyle w:val="FirstParagraph"/>
      </w:pPr>
      <w:r>
        <w:t xml:space="preserve">Professional Business Consultant Services</w:t>
      </w:r>
    </w:p>
    <w:p>
      <w:pPr>
        <w:pStyle w:val="BodyText"/>
      </w:pPr>
      <w:r>
        <w:t xml:space="preserve">120 Ben Yehuda Street, Floor 7, Suite 704</w:t>
      </w:r>
    </w:p>
    <w:p>
      <w:pPr>
        <w:pStyle w:val="BodyText"/>
      </w:pPr>
      <w:r>
        <w:t xml:space="preserve">Tel Aviv-Yafo, 6351001, Israel</w:t>
      </w:r>
    </w:p>
    <w:p>
      <w:pPr>
        <w:pStyle w:val="BodyText"/>
      </w:pPr>
      <w:r>
        <w:t xml:space="preserve">Tel: +972-3-621-4580 | Email: billing@strategicvision.co.il</w:t>
      </w:r>
    </w:p>
    <w:p>
      <w:pPr>
        <w:pStyle w:val="BodyText"/>
      </w:pPr>
      <w:r>
        <w:t xml:space="preserve">VAT No. 51-804-321-67 | Company Reg. No. 51-804-321-67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Horizon Technologies Group Ltd.</w:t>
      </w:r>
    </w:p>
    <w:p>
      <w:pPr>
        <w:pStyle w:val="BodyText"/>
      </w:pPr>
      <w:r>
        <w:t xml:space="preserve">Attn: Mr. David Levi, Chief Executive Officer</w:t>
      </w:r>
    </w:p>
    <w:p>
      <w:pPr>
        <w:pStyle w:val="BodyText"/>
      </w:pPr>
      <w:r>
        <w:t xml:space="preserve">45 Dizengoff Center, Tower B, Floor 12</w:t>
      </w:r>
    </w:p>
    <w:p>
      <w:pPr>
        <w:pStyle w:val="BodyText"/>
      </w:pPr>
      <w:r>
        <w:t xml:space="preserve">Tel Aviv-Yafo, 6512301, Israel</w:t>
      </w:r>
    </w:p>
    <w:p>
      <w:pPr>
        <w:pStyle w:val="BodyText"/>
      </w:pPr>
      <w:r>
        <w:t xml:space="preserve">VAT No. 51-623-890-14</w:t>
      </w:r>
    </w:p>
    <w:p>
      <w:pPr>
        <w:pStyle w:val="BodyText"/>
      </w:pPr>
      <w:r>
        <w:t xml:space="preserve">Email: d.levi@horizontech.co.il</w:t>
      </w:r>
    </w:p>
    <w:bookmarkEnd w:id="22"/>
    <w:bookmarkStart w:id="23" w:name="prepared-by"/>
    <w:p>
      <w:pPr>
        <w:pStyle w:val="Heading3"/>
      </w:pPr>
      <w:r>
        <w:t xml:space="preserve">Prepared By</w:t>
      </w:r>
    </w:p>
    <w:p>
      <w:pPr>
        <w:pStyle w:val="FirstParagraph"/>
      </w:pPr>
      <w:r>
        <w:rPr>
          <w:bCs/>
          <w:b/>
        </w:rPr>
        <w:t xml:space="preserve">Ms. Rachel Ben-Ami, Senior Business Consultant</w:t>
      </w:r>
    </w:p>
    <w:p>
      <w:pPr>
        <w:pStyle w:val="BodyText"/>
      </w:pPr>
      <w:r>
        <w:t xml:space="preserve">Strategic Vision Consulting Ltd.</w:t>
      </w:r>
    </w:p>
    <w:p>
      <w:pPr>
        <w:pStyle w:val="BodyText"/>
      </w:pPr>
      <w:r>
        <w:t xml:space="preserve">120 Ben Yehuda Street, Floor 7, Suite 704</w:t>
      </w:r>
    </w:p>
    <w:p>
      <w:pPr>
        <w:pStyle w:val="BodyText"/>
      </w:pPr>
      <w:r>
        <w:t xml:space="preserve">Tel Aviv-Yafo, 6351001, Israel</w:t>
      </w:r>
    </w:p>
    <w:p>
      <w:pPr>
        <w:pStyle w:val="BodyText"/>
      </w:pPr>
      <w:r>
        <w:t xml:space="preserve">License No. BC-2019-00342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Period</w:t>
            </w:r>
          </w:p>
        </w:tc>
        <w:tc>
          <w:tcPr/>
          <w:p>
            <w:pPr>
              <w:pStyle w:val="Compact"/>
              <w:jc w:val="left"/>
            </w:pPr>
            <w:r>
              <w:t xml:space="preserve">Rate (NIS)</w:t>
            </w:r>
          </w:p>
        </w:tc>
        <w:tc>
          <w:tcPr/>
          <w:p>
            <w:pPr>
              <w:pStyle w:val="Compact"/>
              <w:jc w:val="left"/>
            </w:pPr>
            <w:r>
              <w:t xml:space="preserve">Hours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Strategic Business Planning &amp; Market Analysis – Comprehensive assessment of competitive positioning within the Tel Aviv technology sector, including SWOT analysis and five-year growth roadmap development.</w:t>
            </w:r>
          </w:p>
        </w:tc>
        <w:tc>
          <w:tcPr/>
          <w:p>
            <w:pPr>
              <w:pStyle w:val="Compact"/>
              <w:jc w:val="left"/>
            </w:pPr>
            <w:r>
              <w:t xml:space="preserve">Jan – Mar 2025</w:t>
            </w:r>
          </w:p>
        </w:tc>
        <w:tc>
          <w:tcPr/>
          <w:p>
            <w:pPr>
              <w:pStyle w:val="Compact"/>
              <w:jc w:val="left"/>
            </w:pPr>
            <w:r>
              <w:t xml:space="preserve">1,200</w:t>
            </w:r>
          </w:p>
        </w:tc>
        <w:tc>
          <w:tcPr/>
          <w:p>
            <w:pPr>
              <w:pStyle w:val="Compact"/>
              <w:jc w:val="left"/>
            </w:pPr>
            <w:r>
              <w:t xml:space="preserve">48</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Operational Efficiency Consulting – Process re-engineering of supply chain logistics and internal workflow optimization for the client's Tel Aviv headquarters and regional offices.</w:t>
            </w:r>
          </w:p>
        </w:tc>
        <w:tc>
          <w:tcPr/>
          <w:p>
            <w:pPr>
              <w:pStyle w:val="Compact"/>
              <w:jc w:val="left"/>
            </w:pPr>
            <w:r>
              <w:t xml:space="preserve">Feb – Apr 2025</w:t>
            </w:r>
          </w:p>
        </w:tc>
        <w:tc>
          <w:tcPr/>
          <w:p>
            <w:pPr>
              <w:pStyle w:val="Compact"/>
              <w:jc w:val="left"/>
            </w:pPr>
            <w:r>
              <w:t xml:space="preserve">1,100</w:t>
            </w:r>
          </w:p>
        </w:tc>
        <w:tc>
          <w:tcPr/>
          <w:p>
            <w:pPr>
              <w:pStyle w:val="Compact"/>
              <w:jc w:val="left"/>
            </w:pPr>
            <w:r>
              <w:t xml:space="preserve">62</w:t>
            </w:r>
          </w:p>
        </w:tc>
        <w:tc>
          <w:tcPr/>
          <w:p>
            <w:pPr>
              <w:pStyle w:val="Compact"/>
              <w:jc w:val="left"/>
            </w:pPr>
            <w:r>
              <w:t xml:space="preserve">68,200.00</w:t>
            </w:r>
          </w:p>
        </w:tc>
      </w:tr>
      <w:tr>
        <w:tc>
          <w:tcPr/>
          <w:p>
            <w:pPr>
              <w:pStyle w:val="Compact"/>
              <w:jc w:val="left"/>
            </w:pPr>
            <w:r>
              <w:t xml:space="preserve">3</w:t>
            </w:r>
          </w:p>
        </w:tc>
        <w:tc>
          <w:tcPr/>
          <w:p>
            <w:pPr>
              <w:pStyle w:val="Compact"/>
              <w:jc w:val="left"/>
            </w:pPr>
            <w:r>
              <w:t xml:space="preserve">Financial Restructuring Advisory – Business consultant-led review of capital allocation, debt restructuring options, and investment portfolio realignment in compliance with Israeli financial regulations.</w:t>
            </w:r>
          </w:p>
        </w:tc>
        <w:tc>
          <w:tcPr/>
          <w:p>
            <w:pPr>
              <w:pStyle w:val="Compact"/>
              <w:jc w:val="left"/>
            </w:pPr>
            <w:r>
              <w:t xml:space="preserve">Mar – May 2025</w:t>
            </w:r>
          </w:p>
        </w:tc>
        <w:tc>
          <w:tcPr/>
          <w:p>
            <w:pPr>
              <w:pStyle w:val="Compact"/>
              <w:jc w:val="left"/>
            </w:pPr>
            <w:r>
              <w:t xml:space="preserve">1,350</w:t>
            </w:r>
          </w:p>
        </w:tc>
        <w:tc>
          <w:tcPr/>
          <w:p>
            <w:pPr>
              <w:pStyle w:val="Compact"/>
              <w:jc w:val="left"/>
            </w:pPr>
            <w:r>
              <w:t xml:space="preserve">36</w:t>
            </w:r>
          </w:p>
        </w:tc>
        <w:tc>
          <w:tcPr/>
          <w:p>
            <w:pPr>
              <w:pStyle w:val="Compact"/>
              <w:jc w:val="left"/>
            </w:pPr>
            <w:r>
              <w:t xml:space="preserve">48,600.00</w:t>
            </w:r>
          </w:p>
        </w:tc>
      </w:tr>
      <w:tr>
        <w:tc>
          <w:tcPr/>
          <w:p>
            <w:pPr>
              <w:pStyle w:val="Compact"/>
              <w:jc w:val="left"/>
            </w:pPr>
            <w:r>
              <w:t xml:space="preserve">4</w:t>
            </w:r>
          </w:p>
        </w:tc>
        <w:tc>
          <w:tcPr/>
          <w:p>
            <w:pPr>
              <w:pStyle w:val="Compact"/>
              <w:jc w:val="left"/>
            </w:pPr>
            <w:r>
              <w:t xml:space="preserve">Human Capital &amp; Organizational Development – Design of leadership training programs, performance management frameworks, and talent acquisition strategies tailored to the Israeli labor market.</w:t>
            </w:r>
          </w:p>
        </w:tc>
        <w:tc>
          <w:tcPr/>
          <w:p>
            <w:pPr>
              <w:pStyle w:val="Compact"/>
              <w:jc w:val="left"/>
            </w:pPr>
            <w:r>
              <w:t xml:space="preserve">Apr – Jun 2025</w:t>
            </w:r>
          </w:p>
        </w:tc>
        <w:tc>
          <w:tcPr/>
          <w:p>
            <w:pPr>
              <w:pStyle w:val="Compact"/>
              <w:jc w:val="left"/>
            </w:pPr>
            <w:r>
              <w:t xml:space="preserve">1,050</w:t>
            </w:r>
          </w:p>
        </w:tc>
        <w:tc>
          <w:tcPr/>
          <w:p>
            <w:pPr>
              <w:pStyle w:val="Compact"/>
              <w:jc w:val="left"/>
            </w:pPr>
            <w:r>
              <w:t xml:space="preserve">40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Digital Transformation Roadmap – Business consultant-guided assessment of technology infrastructure, cloud migration planning, and AI integration strategy for enterprise operations in Israel.</w:t>
            </w:r>
          </w:p>
        </w:tc>
        <w:tc>
          <w:tcPr/>
          <w:p>
            <w:pPr>
              <w:pStyle w:val="Compact"/>
              <w:jc w:val="left"/>
            </w:pPr>
            <w:r>
              <w:t xml:space="preserve">May – Jun 2025</w:t>
            </w:r>
          </w:p>
        </w:tc>
        <w:tc>
          <w:tcPr/>
          <w:p>
            <w:pPr>
              <w:pStyle w:val="Compact"/>
              <w:jc w:val="left"/>
            </w:pPr>
            <w:r>
              <w:t xml:space="preserve">1,400</w:t>
            </w:r>
          </w:p>
        </w:tc>
        <w:tc>
          <w:tcPr/>
          <w:p>
            <w:pPr>
              <w:pStyle w:val="Compact"/>
              <w:jc w:val="left"/>
            </w:pPr>
            <w:r>
              <w:t xml:space="preserve">30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Regulatory Compliance &amp; Legal Advisory – Guidance on Israeli corporate governance standards, tax optimization under Israeli law, and international trade compliance for export operations.</w:t>
            </w:r>
          </w:p>
        </w:tc>
        <w:tc>
          <w:tcPr/>
          <w:p>
            <w:pPr>
              <w:pStyle w:val="Compact"/>
              <w:jc w:val="left"/>
            </w:pPr>
            <w:r>
              <w:t xml:space="preserve">Jun 2025</w:t>
            </w:r>
          </w:p>
        </w:tc>
        <w:tc>
          <w:tcPr/>
          <w:p>
            <w:pPr>
              <w:pStyle w:val="Compact"/>
              <w:jc w:val="left"/>
            </w:pPr>
            <w:r>
              <w:t xml:space="preserve">1,250</w:t>
            </w:r>
          </w:p>
        </w:tc>
        <w:tc>
          <w:tcPr/>
          <w:p>
            <w:pPr>
              <w:pStyle w:val="Compact"/>
              <w:jc w:val="left"/>
            </w:pPr>
            <w:r>
              <w:t xml:space="preserve">20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NIS 283,400.00</w:t>
            </w:r>
          </w:p>
        </w:tc>
      </w:tr>
      <w:tr>
        <w:tc>
          <w:tcPr/>
          <w:p>
            <w:pPr>
              <w:pStyle w:val="Compact"/>
              <w:jc w:val="left"/>
            </w:pPr>
            <w:r>
              <w:t xml:space="preserve">VAT @ 18% (Israel)</w:t>
            </w:r>
          </w:p>
        </w:tc>
        <w:tc>
          <w:tcPr/>
          <w:p>
            <w:pPr>
              <w:pStyle w:val="Compact"/>
              <w:jc w:val="left"/>
            </w:pPr>
            <w:r>
              <w:t xml:space="preserve">NIS 51,012.00</w:t>
            </w:r>
          </w:p>
        </w:tc>
      </w:tr>
      <w:tr>
        <w:tc>
          <w:tcPr/>
          <w:p>
            <w:pPr>
              <w:pStyle w:val="Compact"/>
              <w:jc w:val="left"/>
            </w:pPr>
            <w:r>
              <w:t xml:space="preserve">Total Amount Due</w:t>
            </w:r>
          </w:p>
        </w:tc>
        <w:tc>
          <w:tcPr/>
          <w:p>
            <w:pPr>
              <w:pStyle w:val="Compact"/>
              <w:jc w:val="left"/>
            </w:pPr>
            <w:r>
              <w:t xml:space="preserve">NIS 334,412.00</w:t>
            </w:r>
          </w:p>
        </w:tc>
      </w:tr>
    </w:tbl>
    <w:p>
      <w:pPr>
        <w:pStyle w:val="BodyText"/>
      </w:pPr>
      <w:r>
        <w:t xml:space="preserve">All amounts are denominated in New Israeli Shekels (NIS / ILS). VAT is applied at the standard Israeli rate of 18% as mandated by the Israel Tax Authority.</w:t>
      </w:r>
    </w:p>
    <w:bookmarkStart w:id="24" w:name="payment-instructions-terms"/>
    <w:p>
      <w:pPr>
        <w:pStyle w:val="Heading3"/>
      </w:pPr>
      <w:r>
        <w:t xml:space="preserve">Payment Instructions &amp; Terms</w:t>
      </w:r>
    </w:p>
    <w:p>
      <w:pPr>
        <w:pStyle w:val="FirstParagraph"/>
      </w:pPr>
      <w:r>
        <w:rPr>
          <w:bCs/>
          <w:b/>
        </w:rPr>
        <w:t xml:space="preserve">Bank:</w:t>
      </w:r>
      <w:r>
        <w:t xml:space="preserve"> </w:t>
      </w:r>
      <w:r>
        <w:t xml:space="preserve">Bank Leumi, Tel Aviv Branch</w:t>
      </w:r>
    </w:p>
    <w:p>
      <w:pPr>
        <w:pStyle w:val="BodyText"/>
      </w:pPr>
      <w:r>
        <w:rPr>
          <w:bCs/>
          <w:b/>
        </w:rPr>
        <w:t xml:space="preserve">Account Name:</w:t>
      </w:r>
      <w:r>
        <w:t xml:space="preserve"> </w:t>
      </w:r>
      <w:r>
        <w:t xml:space="preserve">Strategic Vision Consulting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IL15 0101 0000 0000 1234 567</w:t>
      </w:r>
    </w:p>
    <w:p>
      <w:pPr>
        <w:pStyle w:val="BodyText"/>
      </w:pPr>
      <w:r>
        <w:rPr>
          <w:bCs/>
          <w:b/>
        </w:rPr>
        <w:t xml:space="preserve">SWIFT/BIC:</w:t>
      </w:r>
      <w:r>
        <w:t xml:space="preserve"> </w:t>
      </w:r>
      <w:r>
        <w:t xml:space="preserve">LUMIILTT</w:t>
      </w:r>
    </w:p>
    <w:p>
      <w:pPr>
        <w:pStyle w:val="BodyText"/>
      </w:pPr>
      <w:r>
        <w:rPr>
          <w:bCs/>
          <w:b/>
        </w:rPr>
        <w:t xml:space="preserve">Reference:</w:t>
      </w:r>
      <w:r>
        <w:t xml:space="preserve"> </w:t>
      </w:r>
      <w:r>
        <w:t xml:space="preserve">Invoice No. SV-2025-0487</w:t>
      </w:r>
    </w:p>
    <w:p>
      <w:pPr>
        <w:pStyle w:val="BodyText"/>
      </w:pPr>
      <w:r>
        <w:t xml:space="preserve">Payment is due within thirty (30) calendar days from the issue date of this Invoice. Late payments shall accrue interest at the rate prescribed by the Israeli Late Payment Law (Hokhach Ha'Avoda), currently 1.5% per month. Please reference the Invoice number on all correspondence and remittances to ensure proper accounting reconciliation.</w:t>
      </w:r>
    </w:p>
    <w:bookmarkEnd w:id="24"/>
    <w:bookmarkStart w:id="25" w:name="important-notes-regarding-this-invoice"/>
    <w:p>
      <w:pPr>
        <w:pStyle w:val="Heading3"/>
      </w:pPr>
      <w:r>
        <w:t xml:space="preserve">Important Notes Regarding This Invoice</w:t>
      </w:r>
    </w:p>
    <w:p>
      <w:pPr>
        <w:pStyle w:val="FirstParagraph"/>
      </w:pPr>
      <w:r>
        <w:t xml:space="preserve">This Invoice has been issued by Strategic Vision Consulting Ltd., a licensed Business Consultant firm registered in Tel Aviv, Israel, in accordance with the Israeli Companies Law, 5759-1999, and the regulations of the Israel Tax Authority. All Business Consultant services rendered under this engagement were performed in full compliance with the professional standards established by the Israeli Association of Management Consultants.</w:t>
      </w:r>
    </w:p>
    <w:p>
      <w:pPr>
        <w:pStyle w:val="BodyText"/>
      </w:pPr>
      <w:r>
        <w:t xml:space="preserve">The services detailed in this Invoice were delivered to the client's premises in Tel Aviv-Yafo and at the consultant's office located in the heart of Tel Aviv's central business district. All deliverables, including strategic reports, operational blueprints, and advisory memoranda, have been handed over to the client's designated representative and are acknowledged as received.</w:t>
      </w:r>
    </w:p>
    <w:p>
      <w:pPr>
        <w:pStyle w:val="BodyText"/>
      </w:pPr>
      <w:r>
        <w:t xml:space="preserve">Should the client require any clarification regarding the line items, rates, or scope of Business Consultant services described in this Invoice, please contact our billing department at billing@strategicvision.co.il or by telephone at +972-3-621-4580 within fourteen (14) days of receipt. Disputes, if any, shall be resolved in good faith in accordance with the terms of the Master Service Agreement dated 1 January 2025, and any unresolved matters shall be subject to the jurisdiction of the Tel Aviv District Court, Israel.</w:t>
      </w:r>
    </w:p>
    <w:p>
      <w:pPr>
        <w:pStyle w:val="BodyText"/>
      </w:pPr>
      <w:r>
        <w:t xml:space="preserve">This Invoice constitutes a final and binding statement of account for the services rendered during the period specified. No additional charges shall be applied beyond the amounts stated herein unless a written amendment to the engagement scope is mutually agreed upon by both parties.</w:t>
      </w:r>
    </w:p>
    <w:bookmarkEnd w:id="25"/>
    <w:p>
      <w:pPr>
        <w:pStyle w:val="BodyText"/>
      </w:pPr>
      <w:r>
        <w:rPr>
          <w:bCs/>
          <w:b/>
        </w:rPr>
        <w:t xml:space="preserve">Strategic Vision Consulting Ltd.</w:t>
      </w:r>
      <w:r>
        <w:t xml:space="preserve"> </w:t>
      </w:r>
      <w:r>
        <w:t xml:space="preserve">– Professional Business Consultant Services in Israel Tel Aviv</w:t>
      </w:r>
    </w:p>
    <w:p>
      <w:pPr>
        <w:pStyle w:val="BodyText"/>
      </w:pPr>
      <w:r>
        <w:t xml:space="preserve">120 Ben Yehuda Street, Floor 7, Suite 704, Tel Aviv-Yafo, 6351001, Israel</w:t>
      </w:r>
    </w:p>
    <w:p>
      <w:pPr>
        <w:pStyle w:val="BodyText"/>
      </w:pPr>
      <w:r>
        <w:t xml:space="preserve">VAT No. 51-804-321-67 | Company Registration No. 51-804-321-67 | Business Consultant License BC-2019-00342</w:t>
      </w:r>
    </w:p>
    <w:p>
      <w:pPr>
        <w:pStyle w:val="BodyText"/>
      </w:pPr>
      <w:r>
        <w:t xml:space="preserve">This Invoice was generated electronically and is valid without a physical signature in accordance with the Israeli Electronic Signatures Law, 5761-2001.</w:t>
      </w:r>
    </w:p>
    <w:p>
      <w:pPr>
        <w:pStyle w:val="BodyText"/>
      </w:pPr>
      <w:r>
        <w:t xml:space="preserve">Thank you for your business. We value our partnership and look forward to continuing to serve you as your trusted Business Consultant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Israel Tel Aviv</dc:title>
  <dc:creator/>
  <dc:language>en</dc:language>
  <cp:keywords/>
  <dcterms:created xsi:type="dcterms:W3CDTF">2026-10-10T07:03:44Z</dcterms:created>
  <dcterms:modified xsi:type="dcterms:W3CDTF">2026-10-10T07:03:44Z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