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strategic-advisory-partners-llp"/>
    <w:p>
      <w:pPr>
        <w:pStyle w:val="Heading1"/>
      </w:pPr>
      <w:r>
        <w:t xml:space="preserve">Strategic Advisory Partners LLP</w:t>
      </w:r>
    </w:p>
    <w:p>
      <w:pPr>
        <w:pStyle w:val="FirstParagraph"/>
      </w:pPr>
      <w:r>
        <w:t xml:space="preserve">Business Consultant Services</w:t>
      </w:r>
    </w:p>
    <w:p>
      <w:pPr>
        <w:pStyle w:val="BodyText"/>
      </w:pPr>
      <w:r>
        <w:t xml:space="preserve">45 Abai Avenue, Office 1204, Almaty, Kazakhstan</w:t>
      </w:r>
    </w:p>
    <w:p>
      <w:pPr>
        <w:pStyle w:val="BodyText"/>
      </w:pPr>
      <w:r>
        <w:t xml:space="preserve">Phone: +7 (727) 312-4567</w:t>
      </w:r>
    </w:p>
    <w:p>
      <w:pPr>
        <w:pStyle w:val="BodyText"/>
      </w:pPr>
      <w:r>
        <w:t xml:space="preserve">Email: billing@strategicadvisory.kz</w:t>
      </w:r>
    </w:p>
    <w:p>
      <w:pPr>
        <w:pStyle w:val="BodyText"/>
      </w:pPr>
      <w:r>
        <w:t xml:space="preserve">BIN: 990845001234 | IIN: 990845001234</w:t>
      </w:r>
    </w:p>
    <w:bookmarkEnd w:id="20"/>
    <w:bookmarkStart w:id="21" w:name="invoice"/>
    <w:p>
      <w:pPr>
        <w:pStyle w:val="Heading2"/>
      </w:pPr>
      <w:r>
        <w:t xml:space="preserve">INVOICE</w:t>
      </w:r>
    </w:p>
    <w:p>
      <w:pPr>
        <w:pStyle w:val="FirstParagraph"/>
      </w:pPr>
      <w:r>
        <w:t xml:space="preserve">Invoice No: SAP-2025-0487</w:t>
      </w:r>
    </w:p>
    <w:p>
      <w:pPr>
        <w:pStyle w:val="BodyText"/>
      </w:pPr>
      <w:r>
        <w:t xml:space="preserve">Date Issued: June 15, 2025</w:t>
      </w:r>
    </w:p>
    <w:p>
      <w:pPr>
        <w:pStyle w:val="BodyText"/>
      </w:pPr>
      <w:r>
        <w:t xml:space="preserve">Due Date: July 15, 2025</w:t>
      </w:r>
    </w:p>
    <w:bookmarkEnd w:id="21"/>
    <w:bookmarkStart w:id="22" w:name="bill-to"/>
    <w:p>
      <w:pPr>
        <w:pStyle w:val="Heading3"/>
      </w:pPr>
      <w:r>
        <w:t xml:space="preserve">Bill To</w:t>
      </w:r>
    </w:p>
    <w:p>
      <w:pPr>
        <w:pStyle w:val="FirstParagraph"/>
      </w:pPr>
      <w:r>
        <w:rPr>
          <w:bCs/>
          <w:b/>
        </w:rPr>
        <w:t xml:space="preserve">Tengri Manufacturing Group JSC</w:t>
      </w:r>
    </w:p>
    <w:p>
      <w:pPr>
        <w:pStyle w:val="BodyText"/>
      </w:pPr>
      <w:r>
        <w:t xml:space="preserve">Attn: Mr. Dauren Kassenov, CFO</w:t>
      </w:r>
    </w:p>
    <w:p>
      <w:pPr>
        <w:pStyle w:val="BodyText"/>
      </w:pPr>
      <w:r>
        <w:t xml:space="preserve">12 Dostyk Avenue, Almaty, Kazakhstan</w:t>
      </w:r>
    </w:p>
    <w:p>
      <w:pPr>
        <w:pStyle w:val="BodyText"/>
      </w:pPr>
      <w:r>
        <w:t xml:space="preserve">BIN: 041234567890</w:t>
      </w:r>
    </w:p>
    <w:p>
      <w:pPr>
        <w:pStyle w:val="BodyText"/>
      </w:pPr>
      <w:r>
        <w:t xml:space="preserve">Phone: +7 (727) 245-8901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Operational Efficiency &amp; Market Expansion</w:t>
      </w:r>
    </w:p>
    <w:p>
      <w:pPr>
        <w:pStyle w:val="BodyText"/>
      </w:pPr>
      <w:r>
        <w:rPr>
          <w:bCs/>
          <w:b/>
        </w:rPr>
        <w:t xml:space="preserve">Location:</w:t>
      </w:r>
      <w:r>
        <w:t xml:space="preserve"> </w:t>
      </w:r>
      <w:r>
        <w:t xml:space="preserve">Kazakhstan Almaty</w:t>
      </w:r>
    </w:p>
    <w:p>
      <w:pPr>
        <w:pStyle w:val="BodyText"/>
      </w:pPr>
      <w:r>
        <w:rPr>
          <w:bCs/>
          <w:b/>
        </w:rPr>
        <w:t xml:space="preserve">Period:</w:t>
      </w:r>
      <w:r>
        <w:t xml:space="preserve"> </w:t>
      </w:r>
      <w:r>
        <w:t xml:space="preserve">March 1 – June 15, 2025</w:t>
      </w:r>
    </w:p>
    <w:p>
      <w:pPr>
        <w:pStyle w:val="BodyText"/>
      </w:pPr>
      <w:r>
        <w:rPr>
          <w:bCs/>
          <w:b/>
        </w:rPr>
        <w:t xml:space="preserve">Lead Consultant:</w:t>
      </w:r>
      <w:r>
        <w:t xml:space="preserve"> </w:t>
      </w:r>
      <w:r>
        <w:t xml:space="preserve">Dr. Aigerim Nurlanova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Business Consultant – Strategic Planning &amp; Organizational Restructuring Assessment for Kazakhstan Almaty operations</w:t>
            </w:r>
          </w:p>
        </w:tc>
        <w:tc>
          <w:tcPr/>
          <w:p>
            <w:pPr>
              <w:pStyle w:val="Compact"/>
              <w:jc w:val="left"/>
            </w:pPr>
            <w:r>
              <w:t xml:space="preserve">40 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Business Consultant – Supply Chain Optimization &amp; Logistics Analysis (Almaty Distribution Hub)</w:t>
            </w:r>
          </w:p>
        </w:tc>
        <w:tc>
          <w:tcPr/>
          <w:p>
            <w:pPr>
              <w:pStyle w:val="Compact"/>
              <w:jc w:val="left"/>
            </w:pPr>
            <w:r>
              <w:t xml:space="preserve">32 hours</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3</w:t>
            </w:r>
          </w:p>
        </w:tc>
        <w:tc>
          <w:tcPr/>
          <w:p>
            <w:pPr>
              <w:pStyle w:val="Compact"/>
              <w:jc w:val="left"/>
            </w:pPr>
            <w:r>
              <w:t xml:space="preserve">Business Consultant – Market Entry Strategy for Central Asian Expansion (Kazakhstan Almaty as regional base)</w:t>
            </w:r>
          </w:p>
        </w:tc>
        <w:tc>
          <w:tcPr/>
          <w:p>
            <w:pPr>
              <w:pStyle w:val="Compact"/>
              <w:jc w:val="left"/>
            </w:pPr>
            <w:r>
              <w:t xml:space="preserve">28 hours</w:t>
            </w:r>
          </w:p>
        </w:tc>
        <w:tc>
          <w:tcPr/>
          <w:p>
            <w:pPr>
              <w:pStyle w:val="Compact"/>
              <w:jc w:val="left"/>
            </w:pPr>
            <w:r>
              <w:t xml:space="preserve">185,000</w:t>
            </w:r>
          </w:p>
        </w:tc>
        <w:tc>
          <w:tcPr/>
          <w:p>
            <w:pPr>
              <w:pStyle w:val="Compact"/>
              <w:jc w:val="left"/>
            </w:pPr>
            <w:r>
              <w:t xml:space="preserve">5,180,000</w:t>
            </w:r>
          </w:p>
        </w:tc>
      </w:tr>
      <w:tr>
        <w:tc>
          <w:tcPr/>
          <w:p>
            <w:pPr>
              <w:pStyle w:val="Compact"/>
              <w:jc w:val="left"/>
            </w:pPr>
            <w:r>
              <w:t xml:space="preserve">4</w:t>
            </w:r>
          </w:p>
        </w:tc>
        <w:tc>
          <w:tcPr/>
          <w:p>
            <w:pPr>
              <w:pStyle w:val="Compact"/>
              <w:jc w:val="left"/>
            </w:pPr>
            <w:r>
              <w:t xml:space="preserve">Business Consultant – Financial Modeling &amp; Investment Feasibility Study</w:t>
            </w:r>
          </w:p>
        </w:tc>
        <w:tc>
          <w:tcPr/>
          <w:p>
            <w:pPr>
              <w:pStyle w:val="Compact"/>
              <w:jc w:val="left"/>
            </w:pPr>
            <w:r>
              <w:t xml:space="preserve">24 hours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5</w:t>
            </w:r>
          </w:p>
        </w:tc>
        <w:tc>
          <w:tcPr/>
          <w:p>
            <w:pPr>
              <w:pStyle w:val="Compact"/>
              <w:jc w:val="left"/>
            </w:pPr>
            <w:r>
              <w:t xml:space="preserve">Business Consultant – Leadership Training &amp; Change Management Workshop (on-site, Almaty)</w:t>
            </w:r>
          </w:p>
        </w:tc>
        <w:tc>
          <w:tcPr/>
          <w:p>
            <w:pPr>
              <w:pStyle w:val="Compact"/>
              <w:jc w:val="left"/>
            </w:pPr>
            <w:r>
              <w:t xml:space="preserve">16 hours</w:t>
            </w:r>
          </w:p>
        </w:tc>
        <w:tc>
          <w:tcPr/>
          <w:p>
            <w:pPr>
              <w:pStyle w:val="Compact"/>
              <w:jc w:val="left"/>
            </w:pPr>
            <w:r>
              <w:t xml:space="preserve">210,000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Business Consultant – Regulatory Compliance Review (Kazakhstan commercial law, tax obligations)</w:t>
            </w:r>
          </w:p>
        </w:tc>
        <w:tc>
          <w:tcPr/>
          <w:p>
            <w:pPr>
              <w:pStyle w:val="Compact"/>
              <w:jc w:val="left"/>
            </w:pPr>
            <w:r>
              <w:t xml:space="preserve">12 hours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7</w:t>
            </w:r>
          </w:p>
        </w:tc>
        <w:tc>
          <w:tcPr/>
          <w:p>
            <w:pPr>
              <w:pStyle w:val="Compact"/>
              <w:jc w:val="left"/>
            </w:pPr>
            <w:r>
              <w:t xml:space="preserve">Business Consultant – Final Report, Recommendations &amp; 90-Day Implementation Roadmap</w:t>
            </w:r>
          </w:p>
        </w:tc>
        <w:tc>
          <w:tcPr/>
          <w:p>
            <w:pPr>
              <w:pStyle w:val="Compact"/>
              <w:jc w:val="left"/>
            </w:pPr>
            <w:r>
              <w:t xml:space="preserve">20 hours</w:t>
            </w:r>
          </w:p>
        </w:tc>
        <w:tc>
          <w:tcPr/>
          <w:p>
            <w:pPr>
              <w:pStyle w:val="Compact"/>
              <w:jc w:val="left"/>
            </w:pPr>
            <w:r>
              <w:t xml:space="preserve">185,000</w:t>
            </w:r>
          </w:p>
        </w:tc>
        <w:tc>
          <w:tcPr/>
          <w:p>
            <w:pPr>
              <w:pStyle w:val="Compact"/>
              <w:jc w:val="left"/>
            </w:pPr>
            <w:r>
              <w:t xml:space="preserve">3,700,000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32,220,000.00 KZT</w:t>
            </w:r>
          </w:p>
        </w:tc>
      </w:tr>
      <w:tr>
        <w:tc>
          <w:tcPr/>
          <w:p>
            <w:pPr>
              <w:pStyle w:val="Compact"/>
              <w:jc w:val="left"/>
            </w:pPr>
            <w:r>
              <w:t xml:space="preserve">VAT (12% – Kazakhstan)</w:t>
            </w:r>
          </w:p>
        </w:tc>
        <w:tc>
          <w:tcPr/>
          <w:p>
            <w:pPr>
              <w:pStyle w:val="Compact"/>
              <w:jc w:val="right"/>
            </w:pPr>
            <w:r>
              <w:t xml:space="preserve">3,866,400.00 KZT</w:t>
            </w:r>
          </w:p>
        </w:tc>
      </w:tr>
      <w:tr>
        <w:tc>
          <w:tcPr/>
          <w:p>
            <w:pPr>
              <w:pStyle w:val="Compact"/>
              <w:jc w:val="left"/>
            </w:pPr>
            <w:r>
              <w:t xml:space="preserve">Travel &amp; Accommodation (Almaty, Kazakhstan)</w:t>
            </w:r>
          </w:p>
        </w:tc>
        <w:tc>
          <w:tcPr/>
          <w:p>
            <w:pPr>
              <w:pStyle w:val="Compact"/>
              <w:jc w:val="right"/>
            </w:pPr>
            <w:r>
              <w:t xml:space="preserve">1,450,000.00 KZT</w:t>
            </w:r>
          </w:p>
        </w:tc>
      </w:tr>
      <w:tr>
        <w:tc>
          <w:tcPr/>
          <w:p>
            <w:pPr>
              <w:pStyle w:val="Compact"/>
              <w:jc w:val="left"/>
            </w:pPr>
            <w:r>
              <w:t xml:space="preserve">Document Preparation &amp; Translation Fees</w:t>
            </w:r>
          </w:p>
        </w:tc>
        <w:tc>
          <w:tcPr/>
          <w:p>
            <w:pPr>
              <w:pStyle w:val="Compact"/>
              <w:jc w:val="right"/>
            </w:pPr>
            <w:r>
              <w:t xml:space="preserve">380,000.00 KZT</w:t>
            </w:r>
          </w:p>
        </w:tc>
      </w:tr>
      <w:tr>
        <w:tc>
          <w:tcPr/>
          <w:p>
            <w:pPr>
              <w:pStyle w:val="Compact"/>
              <w:jc w:val="left"/>
            </w:pPr>
            <w:r>
              <w:t xml:space="preserve">TOTAL AMOUNT DUE</w:t>
            </w:r>
          </w:p>
        </w:tc>
        <w:tc>
          <w:tcPr/>
          <w:p>
            <w:pPr>
              <w:pStyle w:val="Compact"/>
              <w:jc w:val="right"/>
            </w:pPr>
            <w:r>
              <w:t xml:space="preserve">37,916,400.00 KZT</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Jusan International JSC</w:t>
      </w:r>
    </w:p>
    <w:p>
      <w:pPr>
        <w:pStyle w:val="BodyText"/>
      </w:pPr>
      <w:r>
        <w:rPr>
          <w:bCs/>
          <w:b/>
        </w:rPr>
        <w:t xml:space="preserve">Account Name:</w:t>
      </w:r>
      <w:r>
        <w:t xml:space="preserve"> </w:t>
      </w:r>
      <w:r>
        <w:t xml:space="preserve">Strategic Advisory Partners LLP</w:t>
      </w:r>
    </w:p>
    <w:p>
      <w:pPr>
        <w:pStyle w:val="BodyText"/>
      </w:pPr>
      <w:r>
        <w:rPr>
          <w:bCs/>
          <w:b/>
        </w:rPr>
        <w:t xml:space="preserve">IBAN:</w:t>
      </w:r>
      <w:r>
        <w:t xml:space="preserve"> </w:t>
      </w:r>
      <w:r>
        <w:t xml:space="preserve">KZ85 9900 0000 0000 4567 8901</w:t>
      </w:r>
    </w:p>
    <w:p>
      <w:pPr>
        <w:pStyle w:val="BodyText"/>
      </w:pPr>
      <w:r>
        <w:rPr>
          <w:bCs/>
          <w:b/>
        </w:rPr>
        <w:t xml:space="preserve">BIC/SWIFT:</w:t>
      </w:r>
      <w:r>
        <w:t xml:space="preserve"> </w:t>
      </w:r>
      <w:r>
        <w:t xml:space="preserve">JSANKZKA</w:t>
      </w:r>
    </w:p>
    <w:p>
      <w:pPr>
        <w:pStyle w:val="BodyText"/>
      </w:pPr>
      <w:r>
        <w:rPr>
          <w:bCs/>
          <w:b/>
        </w:rPr>
        <w:t xml:space="preserve">Reference:</w:t>
      </w:r>
      <w:r>
        <w:t xml:space="preserve"> </w:t>
      </w:r>
      <w:r>
        <w:t xml:space="preserve">Invoice SAP-2025-0487</w:t>
      </w:r>
    </w:p>
    <w:p>
      <w:pPr>
        <w:pStyle w:val="BodyText"/>
      </w:pPr>
      <w:r>
        <w:rPr>
          <w:bCs/>
          <w:b/>
        </w:rPr>
        <w:t xml:space="preserve">Payment Terms:</w:t>
      </w:r>
      <w:r>
        <w:t xml:space="preserve"> </w:t>
      </w:r>
      <w:r>
        <w:t xml:space="preserve">Net 30 days from Invoice date. Payment due no later than July 15, 2025.</w:t>
      </w:r>
    </w:p>
    <w:bookmarkEnd w:id="24"/>
    <w:bookmarkStart w:id="25" w:name="important-notes-regarding-this-invoice"/>
    <w:p>
      <w:pPr>
        <w:pStyle w:val="Heading3"/>
      </w:pPr>
      <w:r>
        <w:t xml:space="preserve">Important Notes Regarding This Invoice</w:t>
      </w:r>
    </w:p>
    <w:p>
      <w:pPr>
        <w:pStyle w:val="FirstParagraph"/>
      </w:pPr>
      <w:r>
        <w:t xml:space="preserve">This Invoice has been prepared in accordance with the commercial contract (Contract No. TMC-2025-019) signed between Strategic Advisory Partners LLP and Tengri Manufacturing Group JSC on February 20, 2025, in Almaty, Kazakhstan.</w:t>
      </w:r>
    </w:p>
    <w:p>
      <w:pPr>
        <w:pStyle w:val="BodyText"/>
      </w:pPr>
      <w:r>
        <w:t xml:space="preserve">All Business Consultant services rendered were performed in compliance with the professional standards established by the Kazakhstan Chamber of Commerce and Industry. The Business Consultant team operated from the Kazakhstan Almaty office and conducted on-site assessments at the client's facilities within the Almaty metropolitan area.</w:t>
      </w:r>
    </w:p>
    <w:p>
      <w:pPr>
        <w:pStyle w:val="BodyText"/>
      </w:pPr>
      <w:r>
        <w:t xml:space="preserve">Please note that this Invoice includes all professional fees, applicable Kazakhstan Value Added Tax (VAT) at the statutory rate of 12%, and documented out-of-pocket expenses incurred during the engagement period in Kazakhstan Almaty. No additional charges will be applied beyond the amounts stated in this Invoice.</w:t>
      </w:r>
    </w:p>
    <w:p>
      <w:pPr>
        <w:pStyle w:val="BodyText"/>
      </w:pPr>
      <w:r>
        <w:t xml:space="preserve">Should you require a duplicate copy of this Invoice or need the document translated into Russian or Kazakh for internal filing purposes, please contact our billing department within 14 business days of the Invoice date.</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Business Consultant services rendered in Kazakhstan Almaty during the period specified above. Failure to remit payment by the stated due date will result in a late payment penalty of 0.05% per calendar day on the outstanding balance, in accordance with Article 317 of the Civil Code of the Republic of Kazakhstan.</w:t>
      </w:r>
    </w:p>
    <w:p>
      <w:pPr>
        <w:pStyle w:val="BodyText"/>
      </w:pPr>
      <w:r>
        <w:t xml:space="preserve">2. All intellectual property, reports, strategic plans, and deliverables produced by the Business Consultant team remain the exclusive property of the client upon full and final payment of this Invoice.</w:t>
      </w:r>
    </w:p>
    <w:p>
      <w:pPr>
        <w:pStyle w:val="BodyText"/>
      </w:pPr>
      <w:r>
        <w:t xml:space="preserve">3. Disputes arising from this Invoice or the underlying contract shall be resolved through the Arbitration Center at the Astana International Financial Centre, in accordance with the governing law of the Republic of Kazakhstan.</w:t>
      </w:r>
    </w:p>
    <w:p>
      <w:pPr>
        <w:pStyle w:val="BodyText"/>
      </w:pPr>
      <w:r>
        <w:t xml:space="preserve">4. This Invoice is valid for 90 days from the date of issue. After this period, a revised Invoice reflecting current exchange rates and applicable tax regulations in Kazakhstan will be issued.</w:t>
      </w:r>
    </w:p>
    <w:p>
      <w:pPr>
        <w:pStyle w:val="BodyText"/>
      </w:pPr>
      <w:r>
        <w:t xml:space="preserve">5. The Business Consultant engagement was conducted in full compliance with all data protection requirements under the Law of the Republic of Kazakhstan "On Personal Data and Its Protection." All client confidential information handled during the engagement in Kazakhstan Almaty has been secured and will be destroyed 12 months after project completion.</w:t>
      </w:r>
    </w:p>
    <w:bookmarkEnd w:id="26"/>
    <w:p>
      <w:pPr>
        <w:pStyle w:val="BodyText"/>
      </w:pPr>
      <w:r>
        <w:t xml:space="preserve">Strategic Advisory Partners LLP | Business Consultant Services | Kazakhstan Almaty</w:t>
      </w:r>
    </w:p>
    <w:p>
      <w:pPr>
        <w:pStyle w:val="BodyText"/>
      </w:pPr>
      <w:r>
        <w:t xml:space="preserve">This Invoice was generated electronically and is valid without a physical signature. For verification, contact billing@strategicadvisory.kz or +7 (727) 312-4567.</w:t>
      </w:r>
    </w:p>
    <w:p>
      <w:pPr>
        <w:pStyle w:val="BodyText"/>
      </w:pPr>
      <w:r>
        <w:t xml:space="preserve">Thank you for your business. We appreciate the opportunity to serve as your Business Consultant in Kazakhstan Almaty and look forward to a continued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Kazakhstan Almaty</dc:title>
  <dc:creator/>
  <dc:language>en</dc:language>
  <cp:keywords/>
  <dcterms:created xsi:type="dcterms:W3CDTF">2026-10-10T03:53:46Z</dcterms:created>
  <dcterms:modified xsi:type="dcterms:W3CDTF">2026-10-10T03:53:46Z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