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invoice"/>
    <w:p>
      <w:pPr>
        <w:pStyle w:val="Heading1"/>
      </w:pPr>
      <w:r>
        <w:t xml:space="preserve">INVOICE</w:t>
      </w:r>
    </w:p>
    <w:p>
      <w:pPr>
        <w:pStyle w:val="FirstParagraph"/>
      </w:pPr>
      <w:r>
        <w:t xml:space="preserve">Invoice No: KEN-BC-2025-00472</w:t>
      </w:r>
    </w:p>
    <w:p>
      <w:pPr>
        <w:pStyle w:val="BodyText"/>
      </w:pPr>
      <w:r>
        <w:t xml:space="preserve">Date of Issue: 15 June 2025</w:t>
      </w:r>
    </w:p>
    <w:p>
      <w:pPr>
        <w:pStyle w:val="BodyText"/>
      </w:pPr>
      <w:r>
        <w:t xml:space="preserve">Due Date: 30 June 2025</w:t>
      </w:r>
    </w:p>
    <w:bookmarkEnd w:id="20"/>
    <w:bookmarkStart w:id="21" w:name="savanna-strategic-advisory-ltd."/>
    <w:p>
      <w:pPr>
        <w:pStyle w:val="Heading2"/>
      </w:pPr>
      <w:r>
        <w:t xml:space="preserve">Savanna Strategic Advisory Ltd.</w:t>
      </w:r>
    </w:p>
    <w:p>
      <w:pPr>
        <w:pStyle w:val="FirstParagraph"/>
      </w:pPr>
      <w:r>
        <w:t xml:space="preserve">Business Consultant Services</w:t>
      </w:r>
    </w:p>
    <w:p>
      <w:pPr>
        <w:pStyle w:val="BodyText"/>
      </w:pPr>
      <w:r>
        <w:t xml:space="preserve">Westlands Business Park, Suite 412</w:t>
      </w:r>
    </w:p>
    <w:p>
      <w:pPr>
        <w:pStyle w:val="BodyText"/>
      </w:pPr>
      <w:r>
        <w:t xml:space="preserve">Waiyaki Way, Nairobi, Kenya</w:t>
      </w:r>
    </w:p>
    <w:p>
      <w:pPr>
        <w:pStyle w:val="BodyText"/>
      </w:pPr>
      <w:r>
        <w:t xml:space="preserve">P.O. Box 12847-00100, Nairobi</w:t>
      </w:r>
    </w:p>
    <w:p>
      <w:pPr>
        <w:pStyle w:val="BodyText"/>
      </w:pPr>
      <w:r>
        <w:t xml:space="preserve">Tel: +254 700 555 219</w:t>
      </w:r>
    </w:p>
    <w:p>
      <w:pPr>
        <w:pStyle w:val="BodyText"/>
      </w:pPr>
      <w:r>
        <w:t xml:space="preserve">Email: billing@savannaadvisory.co.ke</w:t>
      </w:r>
    </w:p>
    <w:p>
      <w:pPr>
        <w:pStyle w:val="BodyText"/>
      </w:pPr>
      <w:r>
        <w:t xml:space="preserve">KRA PIN: P051234567X</w:t>
      </w:r>
    </w:p>
    <w:bookmarkEnd w:id="21"/>
    <w:bookmarkStart w:id="22" w:name="billed-to"/>
    <w:p>
      <w:pPr>
        <w:pStyle w:val="Heading3"/>
      </w:pPr>
      <w:r>
        <w:t xml:space="preserve">Billed To</w:t>
      </w:r>
    </w:p>
    <w:p>
      <w:pPr>
        <w:pStyle w:val="FirstParagraph"/>
      </w:pPr>
      <w:r>
        <w:rPr>
          <w:bCs/>
          <w:b/>
        </w:rPr>
        <w:t xml:space="preserve">East African Logistics Group Ltd.</w:t>
      </w:r>
    </w:p>
    <w:p>
      <w:pPr>
        <w:pStyle w:val="BodyText"/>
      </w:pPr>
      <w:r>
        <w:t xml:space="preserve">Attn: Mr. David Mwangi, Chief Operations Officer</w:t>
      </w:r>
    </w:p>
    <w:p>
      <w:pPr>
        <w:pStyle w:val="BodyText"/>
      </w:pPr>
      <w:r>
        <w:t xml:space="preserve">Upper Hill Business District, 5th Floor</w:t>
      </w:r>
    </w:p>
    <w:p>
      <w:pPr>
        <w:pStyle w:val="BodyText"/>
      </w:pPr>
      <w:r>
        <w:t xml:space="preserve">Argwings Kodhek Road, Nairobi, Kenya</w:t>
      </w:r>
    </w:p>
    <w:p>
      <w:pPr>
        <w:pStyle w:val="BodyText"/>
      </w:pPr>
      <w:r>
        <w:t xml:space="preserve">P.O. Box 4521-00100, Nairobi</w:t>
      </w:r>
    </w:p>
    <w:p>
      <w:pPr>
        <w:pStyle w:val="BodyText"/>
      </w:pPr>
      <w:r>
        <w:t xml:space="preserve">KRA PIN: P059876543Z</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1 March 2025 – 31 May 2025</w:t>
      </w:r>
    </w:p>
    <w:p>
      <w:pPr>
        <w:pStyle w:val="BodyText"/>
      </w:pPr>
      <w:r>
        <w:rPr>
          <w:bCs/>
          <w:b/>
        </w:rPr>
        <w:t xml:space="preserve">Project Reference:</w:t>
      </w:r>
      <w:r>
        <w:t xml:space="preserve"> </w:t>
      </w:r>
      <w:r>
        <w:t xml:space="preserve">EALG-STRAT-2025-Q1</w:t>
      </w:r>
    </w:p>
    <w:p>
      <w:pPr>
        <w:pStyle w:val="BodyText"/>
      </w:pPr>
      <w:r>
        <w:rPr>
          <w:bCs/>
          <w:b/>
        </w:rPr>
        <w:t xml:space="preserve">Consultant:</w:t>
      </w:r>
      <w:r>
        <w:t xml:space="preserve"> </w:t>
      </w:r>
      <w:r>
        <w:t xml:space="preserve">Dr. Amina Otieno, Senior Business Consultant</w:t>
      </w:r>
    </w:p>
    <w:p>
      <w:pPr>
        <w:pStyle w:val="BodyText"/>
      </w:pPr>
      <w:r>
        <w:rPr>
          <w:bCs/>
          <w:b/>
        </w:rPr>
        <w:t xml:space="preserve">Engagement Type:</w:t>
      </w:r>
      <w:r>
        <w:t xml:space="preserve"> </w:t>
      </w:r>
      <w:r>
        <w:t xml:space="preserve">Retainer – Strategic Advisory</w:t>
      </w:r>
    </w:p>
    <w:p>
      <w:pPr>
        <w:pStyle w:val="BodyText"/>
      </w:pPr>
      <w:r>
        <w:rPr>
          <w:bCs/>
          <w:b/>
        </w:rPr>
        <w:t xml:space="preserve">Currency:</w:t>
      </w:r>
      <w:r>
        <w:t xml:space="preserve"> </w:t>
      </w:r>
      <w:r>
        <w:t xml:space="preserve">Kenyan Shillings (KES)</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Duration / 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Strategic Business Planning &amp; Organizational Restructuring Advisory – Comprehensive review of East African Logistics Group's operational framework in Nairobi, including SWOT analysis, competitive positioning, and five-year strategic roadmap development.</w:t>
            </w:r>
          </w:p>
        </w:tc>
        <w:tc>
          <w:tcPr/>
          <w:p>
            <w:pPr>
              <w:pStyle w:val="Compact"/>
              <w:jc w:val="left"/>
            </w:pPr>
            <w:r>
              <w:t xml:space="preserve">40 hours</w:t>
            </w:r>
          </w:p>
        </w:tc>
        <w:tc>
          <w:tcPr/>
          <w:p>
            <w:pPr>
              <w:pStyle w:val="Compact"/>
              <w:jc w:val="left"/>
            </w:pPr>
            <w:r>
              <w:t xml:space="preserve">12,500</w:t>
            </w:r>
          </w:p>
        </w:tc>
        <w:tc>
          <w:tcPr/>
          <w:p>
            <w:pPr>
              <w:pStyle w:val="Compact"/>
              <w:jc w:val="left"/>
            </w:pPr>
            <w:r>
              <w:t xml:space="preserve">500,000.00</w:t>
            </w:r>
          </w:p>
        </w:tc>
      </w:tr>
      <w:tr>
        <w:tc>
          <w:tcPr/>
          <w:p>
            <w:pPr>
              <w:pStyle w:val="Compact"/>
              <w:jc w:val="left"/>
            </w:pPr>
            <w:r>
              <w:t xml:space="preserve">2</w:t>
            </w:r>
          </w:p>
        </w:tc>
        <w:tc>
          <w:tcPr/>
          <w:p>
            <w:pPr>
              <w:pStyle w:val="Compact"/>
              <w:jc w:val="left"/>
            </w:pPr>
            <w:r>
              <w:t xml:space="preserve">Market Entry &amp; Expansion Feasibility Study – Detailed analysis of regional expansion opportunities across the East African Community, with emphasis on supply chain optimization and regulatory compliance within Kenya's business environment.</w:t>
            </w:r>
          </w:p>
        </w:tc>
        <w:tc>
          <w:tcPr/>
          <w:p>
            <w:pPr>
              <w:pStyle w:val="Compact"/>
              <w:jc w:val="left"/>
            </w:pPr>
            <w:r>
              <w:t xml:space="preserve">30 hours</w:t>
            </w:r>
          </w:p>
        </w:tc>
        <w:tc>
          <w:tcPr/>
          <w:p>
            <w:pPr>
              <w:pStyle w:val="Compact"/>
              <w:jc w:val="left"/>
            </w:pPr>
            <w:r>
              <w:t xml:space="preserve">12,500</w:t>
            </w:r>
          </w:p>
        </w:tc>
        <w:tc>
          <w:tcPr/>
          <w:p>
            <w:pPr>
              <w:pStyle w:val="Compact"/>
              <w:jc w:val="left"/>
            </w:pPr>
            <w:r>
              <w:t xml:space="preserve">375,000.00</w:t>
            </w:r>
          </w:p>
        </w:tc>
      </w:tr>
      <w:tr>
        <w:tc>
          <w:tcPr/>
          <w:p>
            <w:pPr>
              <w:pStyle w:val="Compact"/>
              <w:jc w:val="left"/>
            </w:pPr>
            <w:r>
              <w:t xml:space="preserve">3</w:t>
            </w:r>
          </w:p>
        </w:tc>
        <w:tc>
          <w:tcPr/>
          <w:p>
            <w:pPr>
              <w:pStyle w:val="Compact"/>
              <w:jc w:val="left"/>
            </w:pPr>
            <w:r>
              <w:t xml:space="preserve">Financial Modeling &amp; Revenue Growth Strategy – Development of pro forma financial models, cash flow projections, and actionable revenue diversification strategies tailored to the Nairobi commercial market landscape.</w:t>
            </w:r>
          </w:p>
        </w:tc>
        <w:tc>
          <w:tcPr/>
          <w:p>
            <w:pPr>
              <w:pStyle w:val="Compact"/>
              <w:jc w:val="left"/>
            </w:pPr>
            <w:r>
              <w:t xml:space="preserve">25 hours</w:t>
            </w:r>
          </w:p>
        </w:tc>
        <w:tc>
          <w:tcPr/>
          <w:p>
            <w:pPr>
              <w:pStyle w:val="Compact"/>
              <w:jc w:val="left"/>
            </w:pPr>
            <w:r>
              <w:t xml:space="preserve">12,500</w:t>
            </w:r>
          </w:p>
        </w:tc>
        <w:tc>
          <w:tcPr/>
          <w:p>
            <w:pPr>
              <w:pStyle w:val="Compact"/>
              <w:jc w:val="left"/>
            </w:pPr>
            <w:r>
              <w:t xml:space="preserve">312,500.00</w:t>
            </w:r>
          </w:p>
        </w:tc>
      </w:tr>
      <w:tr>
        <w:tc>
          <w:tcPr/>
          <w:p>
            <w:pPr>
              <w:pStyle w:val="Compact"/>
              <w:jc w:val="left"/>
            </w:pPr>
            <w:r>
              <w:t xml:space="preserve">4</w:t>
            </w:r>
          </w:p>
        </w:tc>
        <w:tc>
          <w:tcPr/>
          <w:p>
            <w:pPr>
              <w:pStyle w:val="Compact"/>
              <w:jc w:val="left"/>
            </w:pPr>
            <w:r>
              <w:t xml:space="preserve">Leadership &amp; Change Management Workshop Facilitation – Three on-site workshops conducted at the client's Nairobi headquarters, focusing on executive alignment, team performance metrics, and organizational culture transformation.</w:t>
            </w:r>
          </w:p>
        </w:tc>
        <w:tc>
          <w:tcPr/>
          <w:p>
            <w:pPr>
              <w:pStyle w:val="Compact"/>
              <w:jc w:val="left"/>
            </w:pPr>
            <w:r>
              <w:t xml:space="preserve">3 days</w:t>
            </w:r>
          </w:p>
        </w:tc>
        <w:tc>
          <w:tcPr/>
          <w:p>
            <w:pPr>
              <w:pStyle w:val="Compact"/>
              <w:jc w:val="left"/>
            </w:pPr>
            <w:r>
              <w:t xml:space="preserve">85,000</w:t>
            </w:r>
          </w:p>
        </w:tc>
        <w:tc>
          <w:tcPr/>
          <w:p>
            <w:pPr>
              <w:pStyle w:val="Compact"/>
              <w:jc w:val="left"/>
            </w:pPr>
            <w:r>
              <w:t xml:space="preserve">255,000.00</w:t>
            </w:r>
          </w:p>
        </w:tc>
      </w:tr>
      <w:tr>
        <w:tc>
          <w:tcPr/>
          <w:p>
            <w:pPr>
              <w:pStyle w:val="Compact"/>
              <w:jc w:val="left"/>
            </w:pPr>
            <w:r>
              <w:t xml:space="preserve">5</w:t>
            </w:r>
          </w:p>
        </w:tc>
        <w:tc>
          <w:tcPr/>
          <w:p>
            <w:pPr>
              <w:pStyle w:val="Compact"/>
              <w:jc w:val="left"/>
            </w:pPr>
            <w:r>
              <w:t xml:space="preserve">Monthly Progress Reporting &amp; Stakeholder Advisory – Ongoing Business Consultant oversight, monthly written reports, and ad-hoc advisory sessions with the board of directors throughout the engagement period.</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1,577,500.00</w:t>
            </w:r>
          </w:p>
        </w:tc>
      </w:tr>
      <w:tr>
        <w:tc>
          <w:tcPr/>
          <w:p>
            <w:pPr>
              <w:pStyle w:val="Compact"/>
              <w:jc w:val="left"/>
            </w:pPr>
            <w:r>
              <w:t xml:space="preserve">VAT @ 16% (Kenya Revenue Authority)</w:t>
            </w:r>
          </w:p>
        </w:tc>
        <w:tc>
          <w:tcPr/>
          <w:p>
            <w:pPr>
              <w:pStyle w:val="Compact"/>
              <w:jc w:val="right"/>
            </w:pPr>
            <w:r>
              <w:t xml:space="preserve">252,400.00</w:t>
            </w:r>
          </w:p>
        </w:tc>
      </w:tr>
      <w:tr>
        <w:tc>
          <w:tcPr/>
          <w:p>
            <w:pPr>
              <w:pStyle w:val="Compact"/>
              <w:jc w:val="left"/>
            </w:pPr>
            <w:r>
              <w:t xml:space="preserve">Withholding Tax @ 5% (as applicable)</w:t>
            </w:r>
          </w:p>
        </w:tc>
        <w:tc>
          <w:tcPr/>
          <w:p>
            <w:pPr>
              <w:pStyle w:val="Compact"/>
              <w:jc w:val="right"/>
            </w:pPr>
            <w:r>
              <w:t xml:space="preserve">(78,875.00)</w:t>
            </w:r>
          </w:p>
        </w:tc>
      </w:tr>
      <w:tr>
        <w:tc>
          <w:tcPr/>
          <w:p>
            <w:pPr>
              <w:pStyle w:val="Compact"/>
              <w:jc w:val="left"/>
            </w:pPr>
            <w:r>
              <w:t xml:space="preserve">Grand Total Due</w:t>
            </w:r>
          </w:p>
        </w:tc>
        <w:tc>
          <w:tcPr/>
          <w:p>
            <w:pPr>
              <w:pStyle w:val="Compact"/>
              <w:jc w:val="right"/>
            </w:pPr>
            <w:r>
              <w:t xml:space="preserve">1,751,025.00</w:t>
            </w:r>
          </w:p>
        </w:tc>
      </w:tr>
    </w:tbl>
    <w:bookmarkStart w:id="24" w:name="payment-terms-important-notes"/>
    <w:p>
      <w:pPr>
        <w:pStyle w:val="Heading3"/>
      </w:pPr>
      <w:r>
        <w:t xml:space="preserve">Payment Terms &amp; Important Notes</w:t>
      </w:r>
    </w:p>
    <w:p>
      <w:pPr>
        <w:pStyle w:val="FirstParagraph"/>
      </w:pPr>
      <w:r>
        <w:t xml:space="preserve">This Invoice is issued by Savanna Strategic Advisory Ltd., a registered Business Consultant firm operating in Kenya Nairobi, in accordance with the Kenya Revenue Authority (KRA) eTIMS compliance requirements. The total amount of KES 1,751,025.00 is due within fourteen (14) calendar days from the date of issue, as stipulated in the signed Service Agreement dated 28 February 2025.</w:t>
      </w:r>
    </w:p>
    <w:p>
      <w:pPr>
        <w:pStyle w:val="BodyText"/>
      </w:pPr>
      <w:r>
        <w:t xml:space="preserve">Please note that this Business Consultant engagement was conducted entirely within the Nairobi metropolitan area, and all services were delivered in compliance with the Kenya Companies Act, 2015, and the relevant professional standards set by the Institute of Certified Public Accountants of Kenya (ICPAK).</w:t>
      </w:r>
    </w:p>
    <w:p>
      <w:pPr>
        <w:pStyle w:val="BodyText"/>
      </w:pPr>
      <w:r>
        <w:t xml:space="preserve">Payment may be made via bank transfer to the following account:</w:t>
      </w:r>
    </w:p>
    <w:p>
      <w:pPr>
        <w:numPr>
          <w:ilvl w:val="0"/>
          <w:numId w:val="1001"/>
        </w:numPr>
        <w:pStyle w:val="Compact"/>
      </w:pPr>
      <w:r>
        <w:rPr>
          <w:bCs/>
          <w:b/>
        </w:rPr>
        <w:t xml:space="preserve">Bank:</w:t>
      </w:r>
      <w:r>
        <w:t xml:space="preserve"> </w:t>
      </w:r>
      <w:r>
        <w:t xml:space="preserve">Equity Bank PLC, Nairobi Main Branch</w:t>
      </w:r>
    </w:p>
    <w:p>
      <w:pPr>
        <w:numPr>
          <w:ilvl w:val="0"/>
          <w:numId w:val="1001"/>
        </w:numPr>
        <w:pStyle w:val="Compact"/>
      </w:pPr>
      <w:r>
        <w:rPr>
          <w:bCs/>
          <w:b/>
        </w:rPr>
        <w:t xml:space="preserve">Account Name:</w:t>
      </w:r>
      <w:r>
        <w:t xml:space="preserve"> </w:t>
      </w:r>
      <w:r>
        <w:t xml:space="preserve">Savanna Strategic Advisory Ltd.</w:t>
      </w:r>
    </w:p>
    <w:p>
      <w:pPr>
        <w:numPr>
          <w:ilvl w:val="0"/>
          <w:numId w:val="1001"/>
        </w:numPr>
        <w:pStyle w:val="Compact"/>
      </w:pPr>
      <w:r>
        <w:rPr>
          <w:bCs/>
          <w:b/>
        </w:rPr>
        <w:t xml:space="preserve">Account Number:</w:t>
      </w:r>
      <w:r>
        <w:t xml:space="preserve"> </w:t>
      </w:r>
      <w:r>
        <w:t xml:space="preserve">0123456789</w:t>
      </w:r>
    </w:p>
    <w:p>
      <w:pPr>
        <w:numPr>
          <w:ilvl w:val="0"/>
          <w:numId w:val="1001"/>
        </w:numPr>
        <w:pStyle w:val="Compact"/>
      </w:pPr>
      <w:r>
        <w:rPr>
          <w:bCs/>
          <w:b/>
        </w:rPr>
        <w:t xml:space="preserve">Branch Code:</w:t>
      </w:r>
      <w:r>
        <w:t xml:space="preserve"> </w:t>
      </w:r>
      <w:r>
        <w:t xml:space="preserve">0100</w:t>
      </w:r>
    </w:p>
    <w:p>
      <w:pPr>
        <w:numPr>
          <w:ilvl w:val="0"/>
          <w:numId w:val="1001"/>
        </w:numPr>
        <w:pStyle w:val="Compact"/>
      </w:pPr>
      <w:r>
        <w:rPr>
          <w:bCs/>
          <w:b/>
        </w:rPr>
        <w:t xml:space="preserve">Reference:</w:t>
      </w:r>
      <w:r>
        <w:t xml:space="preserve"> </w:t>
      </w:r>
      <w:r>
        <w:t xml:space="preserve">KEN-BC-2025-00472</w:t>
      </w:r>
    </w:p>
    <w:p>
      <w:pPr>
        <w:pStyle w:val="FirstParagraph"/>
      </w:pPr>
      <w:r>
        <w:t xml:space="preserve">A late payment penalty of 2% per month will be applied to any outstanding balance beyond the due date. This Invoice must be retained for a minimum of five (5) years in accordance with Kenyan tax law. For queries regarding this Invoice or the Business Consultant services rendered, please contact our billing department at Nairobi, Kenya, during standard business hours (Monday to Friday, 8:00 AM – 5:00 PM EAT).</w:t>
      </w:r>
    </w:p>
    <w:bookmarkEnd w:id="24"/>
    <w:p>
      <w:pPr>
        <w:pStyle w:val="BodyText"/>
      </w:pPr>
      <w:r>
        <w:t xml:space="preserve">Authorised Signature &amp; Stamp</w:t>
      </w:r>
    </w:p>
    <w:p>
      <w:pPr>
        <w:pStyle w:val="BodyText"/>
      </w:pPr>
      <w:r>
        <w:t xml:space="preserve">Client Acknowledgement</w:t>
      </w:r>
    </w:p>
    <w:p>
      <w:pPr>
        <w:pStyle w:val="BodyText"/>
      </w:pPr>
      <w:r>
        <w:t xml:space="preserve">Savanna Strategic Advisory Ltd. | Registered Business Consultant Firm | Kenya Nairobi</w:t>
      </w:r>
    </w:p>
    <w:p>
      <w:pPr>
        <w:pStyle w:val="BodyText"/>
      </w:pPr>
      <w:r>
        <w:t xml:space="preserve">Company Reg. No: 112345678 | KRA PIN: P051234567X | Physical Address: Westlands Business Park, Waiyaki Way, Nairobi, Kenya</w:t>
      </w:r>
    </w:p>
    <w:p>
      <w:pPr>
        <w:pStyle w:val="BodyText"/>
      </w:pPr>
      <w:r>
        <w:t xml:space="preserve">This is a computer-generated Invoice and does not require a physical signature to be valid. All amounts are in Kenyan Shillings (KES) unless otherwise stated.</w:t>
      </w:r>
    </w:p>
    <w:p>
      <w:pPr>
        <w:pStyle w:val="BodyText"/>
      </w:pPr>
      <w:r>
        <w:t xml:space="preserve">© 2025 Savanna Strategic Advisory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Kenya Nairobi</dc:title>
  <dc:creator/>
  <dc:language>en</dc:language>
  <cp:keywords/>
  <dcterms:created xsi:type="dcterms:W3CDTF">2026-10-10T04:45:22Z</dcterms:created>
  <dcterms:modified xsi:type="dcterms:W3CDTF">2026-10-10T04:45:22Z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