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Invoice</w:t>
      </w:r>
    </w:p>
    <w:p>
      <w:pPr>
        <w:pStyle w:val="BodyText"/>
      </w:pPr>
      <w:r>
        <w:t xml:space="preserve">Professional Business Consultant Services</w:t>
      </w:r>
    </w:p>
    <w:p>
      <w:pPr>
        <w:pStyle w:val="BodyText"/>
      </w:pPr>
      <w:r>
        <w:t xml:space="preserve">PAID - MALAYSIA KUALA LUMPUR</w:t>
      </w:r>
    </w:p>
    <w:bookmarkStart w:id="20" w:name="strategic-edge-consulting-sdn.-bhd."/>
    <w:p>
      <w:pPr>
        <w:pStyle w:val="Heading3"/>
      </w:pPr>
      <w:r>
        <w:t xml:space="preserve">Strategic Edge Consulting Sdn. Bhd.</w:t>
      </w:r>
    </w:p>
    <w:p>
      <w:pPr>
        <w:pStyle w:val="FirstParagraph"/>
      </w:pPr>
      <w:r>
        <w:t xml:space="preserve">Level 24, Menara KLCC</w:t>
      </w:r>
    </w:p>
    <w:p>
      <w:pPr>
        <w:pStyle w:val="BodyText"/>
      </w:pPr>
      <w:r>
        <w:t xml:space="preserve">No. 12, Jalan P. Ramlee</w:t>
      </w:r>
    </w:p>
    <w:p>
      <w:pPr>
        <w:pStyle w:val="BodyText"/>
      </w:pPr>
      <w:r>
        <w:t xml:space="preserve">50250 Malaysia Kuala Lumpur</w:t>
      </w:r>
    </w:p>
    <w:p>
      <w:pPr>
        <w:pStyle w:val="BodyText"/>
      </w:pPr>
      <w:r>
        <w:t xml:space="preserve">Tel: +60 3-2181 4567</w:t>
      </w:r>
    </w:p>
    <w:p>
      <w:pPr>
        <w:pStyle w:val="BodyText"/>
      </w:pPr>
      <w:r>
        <w:t xml:space="preserve">Email: billing@strategicedge.my</w:t>
      </w:r>
    </w:p>
    <w:p>
      <w:pPr>
        <w:pStyle w:val="BodyText"/>
      </w:pPr>
      <w:r>
        <w:t xml:space="preserve">Registration No: 201901045678 (K)</w:t>
      </w:r>
    </w:p>
    <w:p>
      <w:pPr>
        <w:pStyle w:val="BodyText"/>
      </w:pPr>
      <w:r>
        <w:t xml:space="preserve">FRP No: 001234567890</w:t>
      </w:r>
    </w:p>
    <w:bookmarkEnd w:id="20"/>
    <w:bookmarkStart w:id="21" w:name="invoice-details"/>
    <w:p>
      <w:pPr>
        <w:pStyle w:val="Heading4"/>
      </w:pPr>
      <w:r>
        <w:t xml:space="preserve">Invoice Details</w:t>
      </w:r>
    </w:p>
    <w:p>
      <w:pPr>
        <w:pStyle w:val="FirstParagraph"/>
      </w:pPr>
      <w:r>
        <w:rPr>
          <w:bCs/>
          <w:b/>
        </w:rPr>
        <w:t xml:space="preserve">Invoice No:</w:t>
      </w:r>
      <w:r>
        <w:t xml:space="preserve"> </w:t>
      </w:r>
      <w:r>
        <w:t xml:space="preserve">SEC-2025-KL-00482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1"/>
    <w:bookmarkStart w:id="22" w:name="billed-to"/>
    <w:p>
      <w:pPr>
        <w:pStyle w:val="Heading4"/>
      </w:pPr>
      <w:r>
        <w:t xml:space="preserve">Billed To</w:t>
      </w:r>
    </w:p>
    <w:p>
      <w:pPr>
        <w:pStyle w:val="FirstParagraph"/>
      </w:pPr>
      <w:r>
        <w:rPr>
          <w:bCs/>
          <w:b/>
        </w:rPr>
        <w:t xml:space="preserve">Horizon Manufacturing Group Sdn. Bhd.</w:t>
      </w:r>
    </w:p>
    <w:p>
      <w:pPr>
        <w:pStyle w:val="BodyText"/>
      </w:pPr>
      <w:r>
        <w:t xml:space="preserve">Lot 8, Jalan Industri 3</w:t>
      </w:r>
    </w:p>
    <w:p>
      <w:pPr>
        <w:pStyle w:val="BodyText"/>
      </w:pPr>
      <w:r>
        <w:t xml:space="preserve">Kawasan Perindustrian Shah Alam</w:t>
      </w:r>
    </w:p>
    <w:p>
      <w:pPr>
        <w:pStyle w:val="BodyText"/>
      </w:pPr>
      <w:r>
        <w:t xml:space="preserve">40000 Shah Alam, Selangor</w:t>
      </w:r>
    </w:p>
    <w:p>
      <w:pPr>
        <w:pStyle w:val="BodyText"/>
      </w:pPr>
      <w:r>
        <w:t xml:space="preserve">Malaysia Kuala Lumpur Region</w:t>
      </w:r>
    </w:p>
    <w:p>
      <w:pPr>
        <w:pStyle w:val="BodyText"/>
      </w:pPr>
      <w:r>
        <w:t xml:space="preserve">Attn: Mr. Tan Wei Ming (CEO)</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(MYR)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Strategic Business Planning &amp; Market Analysis – Comprehensive review of Horizon Manufacturing Group's operational framework, competitive positioning, and growth trajectory within the Malaysia Kuala Lumpur industrial corridor. Includes SWOT analysis, PESTLE assessment, and 5-year strategic roadmap development.</w:t>
            </w:r>
          </w:p>
        </w:tc>
        <w:tc>
          <w:tcPr/>
          <w:p>
            <w:pPr>
              <w:pStyle w:val="Compact"/>
              <w:jc w:val="left"/>
            </w:pPr>
            <w:r>
              <w:t xml:space="preserve">350.00</w:t>
            </w:r>
          </w:p>
        </w:tc>
        <w:tc>
          <w:tcPr/>
          <w:p>
            <w:pPr>
              <w:pStyle w:val="Compact"/>
              <w:jc w:val="left"/>
            </w:pPr>
            <w:r>
              <w:t xml:space="preserve">24</w:t>
            </w:r>
          </w:p>
        </w:tc>
        <w:tc>
          <w:tcPr/>
          <w:p>
            <w:pPr>
              <w:pStyle w:val="Compact"/>
              <w:jc w:val="left"/>
            </w:pPr>
            <w:r>
              <w:t xml:space="preserve">1</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Operational Efficiency Audit &amp; Process Optimization – On-site assessment conducted at the Shah Alam facility. The Business Consultant team evaluated supply chain logistics, production line throughput, quality control protocols, and identified seventeen (17) areas for cost reduction and efficiency improvement.</w:t>
            </w:r>
          </w:p>
        </w:tc>
        <w:tc>
          <w:tcPr/>
          <w:p>
            <w:pPr>
              <w:pStyle w:val="Compact"/>
              <w:jc w:val="left"/>
            </w:pPr>
            <w:r>
              <w:t xml:space="preserve">420.00</w:t>
            </w:r>
          </w:p>
        </w:tc>
        <w:tc>
          <w:tcPr/>
          <w:p>
            <w:pPr>
              <w:pStyle w:val="Compact"/>
              <w:jc w:val="left"/>
            </w:pPr>
            <w:r>
              <w:t xml:space="preserve">32</w:t>
            </w:r>
          </w:p>
        </w:tc>
        <w:tc>
          <w:tcPr/>
          <w:p>
            <w:pPr>
              <w:pStyle w:val="Compact"/>
              <w:jc w:val="left"/>
            </w:pPr>
            <w:r>
              <w:t xml:space="preserve">1</w:t>
            </w:r>
          </w:p>
        </w:tc>
        <w:tc>
          <w:tcPr/>
          <w:p>
            <w:pPr>
              <w:pStyle w:val="Compact"/>
              <w:jc w:val="left"/>
            </w:pPr>
            <w:r>
              <w:t xml:space="preserve">13,440.00</w:t>
            </w:r>
          </w:p>
        </w:tc>
      </w:tr>
      <w:tr>
        <w:tc>
          <w:tcPr/>
          <w:p>
            <w:pPr>
              <w:pStyle w:val="Compact"/>
              <w:jc w:val="left"/>
            </w:pPr>
            <w:r>
              <w:t xml:space="preserve">3</w:t>
            </w:r>
          </w:p>
        </w:tc>
        <w:tc>
          <w:tcPr/>
          <w:p>
            <w:pPr>
              <w:pStyle w:val="Compact"/>
              <w:jc w:val="left"/>
            </w:pPr>
            <w:r>
              <w:t xml:space="preserve">Leadership &amp; Organizational Development Workshop – Facilitated a two-day executive workshop for the senior management team of Horizon Manufacturing Group. Covered topics including change management, agile leadership frameworks, and cross-functional collaboration strategies tailored to the Malaysia Kuala Lumpur business environment.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Digital Transformation Advisory – Assessment of current IT infrastructure, recommendation of cloud migration pathways, and development of a phased digital adoption plan. The Business Consultant provided guidance on ERP system integration, data analytics implementation, and cybersecurity compliance aligned with Malaysian data protection regulations (PDPA 2010).</w:t>
            </w:r>
          </w:p>
        </w:tc>
        <w:tc>
          <w:tcPr/>
          <w:p>
            <w:pPr>
              <w:pStyle w:val="Compact"/>
              <w:jc w:val="left"/>
            </w:pPr>
            <w:r>
              <w:t xml:space="preserve">380.00</w:t>
            </w:r>
          </w:p>
        </w:tc>
        <w:tc>
          <w:tcPr/>
          <w:p>
            <w:pPr>
              <w:pStyle w:val="Compact"/>
              <w:jc w:val="left"/>
            </w:pPr>
            <w:r>
              <w:t xml:space="preserve">20</w:t>
            </w:r>
          </w:p>
        </w:tc>
        <w:tc>
          <w:tcPr/>
          <w:p>
            <w:pPr>
              <w:pStyle w:val="Compact"/>
              <w:jc w:val="left"/>
            </w:pPr>
            <w:r>
              <w:t xml:space="preserve">1</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Regulatory Compliance &amp; Tax Advisory – Review of corporate tax obligations, SST (Sales and Service Tax) compliance, and employment law adherence for the Malaysia Kuala Lumpur operations. Prepared a compliance checklist and recommended amendments to internal policies to ensure full alignment with Malaysian Companies Act 2016 and LHDN requirements.</w:t>
            </w:r>
          </w:p>
        </w:tc>
        <w:tc>
          <w:tcPr/>
          <w:p>
            <w:pPr>
              <w:pStyle w:val="Compact"/>
              <w:jc w:val="left"/>
            </w:pPr>
            <w:r>
              <w:t xml:space="preserve">300.00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Monthly Progress Reporting &amp; Stakeholder Communication – Preparation of detailed monthly progress reports, presentation of findings to the Board of Directors, and coordination with internal departments. Includes three (3) formal presentation sessions and ongoing email/telephone support throughout the engagement period.</w:t>
            </w:r>
          </w:p>
        </w:tc>
        <w:tc>
          <w:tcPr/>
          <w:p>
            <w:pPr>
              <w:pStyle w:val="Compact"/>
              <w:jc w:val="left"/>
            </w:pPr>
            <w:r>
              <w:t xml:space="preserve">250.00</w:t>
            </w:r>
          </w:p>
        </w:tc>
        <w:tc>
          <w:tcPr/>
          <w:p>
            <w:pPr>
              <w:pStyle w:val="Compact"/>
              <w:jc w:val="left"/>
            </w:pPr>
            <w:r>
              <w:t xml:space="preserve">8</w:t>
            </w:r>
          </w:p>
        </w:tc>
        <w:tc>
          <w:tcPr/>
          <w:p>
            <w:pPr>
              <w:pStyle w:val="Compact"/>
              <w:jc w:val="left"/>
            </w:pPr>
            <w:r>
              <w:t xml:space="preserve">1</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37,440.00</w:t>
            </w:r>
          </w:p>
        </w:tc>
      </w:tr>
      <w:tr>
        <w:tc>
          <w:tcPr/>
          <w:p>
            <w:pPr>
              <w:pStyle w:val="Compact"/>
              <w:jc w:val="left"/>
            </w:pPr>
            <w:r>
              <w:t xml:space="preserve">Service Tax (SST) @ 6%</w:t>
            </w:r>
          </w:p>
        </w:tc>
        <w:tc>
          <w:tcPr/>
          <w:p>
            <w:pPr>
              <w:pStyle w:val="Compact"/>
              <w:jc w:val="left"/>
            </w:pPr>
            <w:r>
              <w:t xml:space="preserve">RM 2,246.40</w:t>
            </w:r>
          </w:p>
        </w:tc>
      </w:tr>
      <w:tr>
        <w:tc>
          <w:tcPr/>
          <w:p>
            <w:pPr>
              <w:pStyle w:val="Compact"/>
              <w:jc w:val="left"/>
            </w:pPr>
            <w:r>
              <w:t xml:space="preserve">Discount (Early Payment 2%)</w:t>
            </w:r>
          </w:p>
        </w:tc>
        <w:tc>
          <w:tcPr/>
          <w:p>
            <w:pPr>
              <w:pStyle w:val="Compact"/>
              <w:jc w:val="left"/>
            </w:pPr>
            <w:r>
              <w:t xml:space="preserve">- RM 748.80</w:t>
            </w:r>
          </w:p>
        </w:tc>
      </w:tr>
      <w:tr>
        <w:tc>
          <w:tcPr/>
          <w:p>
            <w:pPr>
              <w:pStyle w:val="Compact"/>
              <w:jc w:val="left"/>
            </w:pPr>
            <w:r>
              <w:t xml:space="preserve">Grand Total (MYR)</w:t>
            </w:r>
          </w:p>
        </w:tc>
        <w:tc>
          <w:tcPr/>
          <w:p>
            <w:pPr>
              <w:pStyle w:val="Compact"/>
              <w:jc w:val="left"/>
            </w:pPr>
            <w:r>
              <w:t xml:space="preserve">RM 38,937.60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14 days from the Invoice date (by 30 June 2025).</w:t>
      </w:r>
    </w:p>
    <w:p>
      <w:pPr>
        <w:pStyle w:val="BodyText"/>
      </w:pPr>
      <w:r>
        <w:rPr>
          <w:bCs/>
          <w:b/>
        </w:rPr>
        <w:t xml:space="preserve">Payment Method:</w:t>
      </w:r>
      <w:r>
        <w:t xml:space="preserve"> </w:t>
      </w:r>
      <w:r>
        <w:t xml:space="preserve">Bank Transfer (Telegraphic Transfer / Online Banking)</w:t>
      </w:r>
    </w:p>
    <w:p>
      <w:pPr>
        <w:pStyle w:val="BodyText"/>
      </w:pPr>
      <w:r>
        <w:rPr>
          <w:bCs/>
          <w:b/>
        </w:rPr>
        <w:t xml:space="preserve">Bank:</w:t>
      </w:r>
      <w:r>
        <w:t xml:space="preserve"> </w:t>
      </w:r>
      <w:r>
        <w:t xml:space="preserve">Maybank Berhad</w:t>
      </w:r>
    </w:p>
    <w:p>
      <w:pPr>
        <w:pStyle w:val="BodyText"/>
      </w:pPr>
      <w:r>
        <w:rPr>
          <w:bCs/>
          <w:b/>
        </w:rPr>
        <w:t xml:space="preserve">Account Name:</w:t>
      </w:r>
      <w:r>
        <w:t xml:space="preserve"> </w:t>
      </w:r>
      <w:r>
        <w:t xml:space="preserve">Strategic Edge Consulting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SEC-2025-KL-00482</w:t>
      </w:r>
    </w:p>
    <w:p>
      <w:pPr>
        <w:pStyle w:val="BodyText"/>
      </w:pPr>
      <w:r>
        <w:rPr>
          <w:bCs/>
          <w:b/>
        </w:rPr>
        <w:t xml:space="preserve">Important:</w:t>
      </w:r>
      <w:r>
        <w:t xml:space="preserve"> </w:t>
      </w:r>
      <w:r>
        <w:t xml:space="preserve">Please ensure the Invoice reference number is included in the payment remarks. Late payments will incur a penalty of 5% per month as stipulated in the Master Service Agreement dated 1 April 2025. All amounts are denominated in Malaysian Ringgit (MYR / RM). This Invoice is issued in accordance with the Inland Revenue Board of Malaysia (LHDN) e-Invoice guidelines effective 1 January 2025.</w:t>
      </w:r>
    </w:p>
    <w:bookmarkEnd w:id="23"/>
    <w:bookmarkStart w:id="24" w:name="notes-terms-of-service"/>
    <w:p>
      <w:pPr>
        <w:pStyle w:val="Heading4"/>
      </w:pPr>
      <w:r>
        <w:t xml:space="preserve">Notes &amp; Terms of Service</w:t>
      </w:r>
    </w:p>
    <w:p>
      <w:pPr>
        <w:pStyle w:val="FirstParagraph"/>
      </w:pPr>
      <w:r>
        <w:t xml:space="preserve">1. This Invoice covers all Business Consultant professional services rendered by Strategic Edge Consulting Sdn. Bhd. to Horizon Manufacturing Group Sdn. Bhd. for the period of 1 May 2025 to 31 May 2025.</w:t>
      </w:r>
    </w:p>
    <w:p>
      <w:pPr>
        <w:pStyle w:val="BodyText"/>
      </w:pPr>
      <w:r>
        <w:t xml:space="preserve">2. All deliverables, including strategic reports, audit findings, workshop materials, and advisory documents, have been submitted to the client's designated representative via secure electronic transfer on 2 June 2025.</w:t>
      </w:r>
    </w:p>
    <w:p>
      <w:pPr>
        <w:pStyle w:val="BodyText"/>
      </w:pPr>
      <w:r>
        <w:t xml:space="preserve">3. The Business Consultant engagement was conducted in full compliance with the Malaysian Institute of Accountants (MIA) code of ethics and professional conduct standards.</w:t>
      </w:r>
    </w:p>
    <w:p>
      <w:pPr>
        <w:pStyle w:val="BodyText"/>
      </w:pPr>
      <w:r>
        <w:t xml:space="preserve">4. Any additional services or scope changes beyond the original Statement of Work must be approved in writing by both parties prior to execution and will be invoiced separately.</w:t>
      </w:r>
    </w:p>
    <w:p>
      <w:pPr>
        <w:pStyle w:val="BodyText"/>
      </w:pPr>
      <w:r>
        <w:t xml:space="preserve">5. This Invoice is valid for 90 days from the date of issue. After this period, the Service Tax component may be subject to recalculation based on prevailing Malaysian tax rates.</w:t>
      </w:r>
    </w:p>
    <w:p>
      <w:pPr>
        <w:pStyle w:val="BodyText"/>
      </w:pPr>
      <w:r>
        <w:t xml:space="preserve">6. For queries regarding this Invoice or the Business Consultant engagement, please contact our billing department at billing@strategicedge.my or call +60 3-2181 4567 (Monday to Friday, 9:00 AM – 6:00 PM MYT).</w:t>
      </w:r>
    </w:p>
    <w:bookmarkEnd w:id="24"/>
    <w:p>
      <w:pPr>
        <w:pStyle w:val="BodyText"/>
      </w:pPr>
      <w:r>
        <w:rPr>
          <w:bCs/>
          <w:b/>
        </w:rPr>
        <w:t xml:space="preserve">Strategic Edge Consulting Sdn. Bhd.</w:t>
      </w:r>
      <w:r>
        <w:t xml:space="preserve"> </w:t>
      </w:r>
      <w:r>
        <w:t xml:space="preserve">| Level 24, Menara KLCC, No. 12, Jalan P. Ramlee, 50250 Malaysia Kuala Lumpur</w:t>
      </w:r>
    </w:p>
    <w:p>
      <w:pPr>
        <w:pStyle w:val="BodyText"/>
      </w:pPr>
      <w:r>
        <w:t xml:space="preserve">Company Registration No: 201901045678 (K) | SST Registration No: 001234567890 | FRP: 001234567890</w:t>
      </w:r>
    </w:p>
    <w:p>
      <w:pPr>
        <w:pStyle w:val="BodyText"/>
      </w:pPr>
      <w:r>
        <w:t xml:space="preserve">This is a system-generated Invoice. No signature is required. Thank you for engaging our Business Consultant services in Malaysia Kuala Lumpur.</w:t>
      </w:r>
    </w:p>
    <w:p>
      <w:pPr>
        <w:pStyle w:val="BodyText"/>
      </w:pPr>
      <w:r>
        <w:t xml:space="preserve">© 2025 Strategic Edge Consulting Sdn. Bhd.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Malaysia Kuala Lumpur</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