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Professional Business Consultant Services — Netherlands Amsterdam</w:t>
      </w:r>
    </w:p>
    <w:p>
      <w:pPr>
        <w:pStyle w:val="BodyText"/>
      </w:pPr>
      <w:r>
        <w:t xml:space="preserve">Invoice No: INV-2025-04872</w:t>
      </w:r>
    </w:p>
    <w:p>
      <w:pPr>
        <w:pStyle w:val="BodyText"/>
      </w:pPr>
      <w:r>
        <w:t xml:space="preserve">Date of Issue: 15 June 2025</w:t>
      </w:r>
    </w:p>
    <w:p>
      <w:pPr>
        <w:pStyle w:val="BodyText"/>
      </w:pPr>
      <w:r>
        <w:t xml:space="preserve">Due Date: 15 July 2025</w:t>
      </w:r>
    </w:p>
    <w:p>
      <w:pPr>
        <w:pStyle w:val="BodyText"/>
      </w:pPr>
      <w:r>
        <w:t xml:space="preserve">PENDING PAYMENT</w:t>
      </w:r>
    </w:p>
    <w:bookmarkStart w:id="20" w:name="business-consultant-service-provider"/>
    <w:p>
      <w:pPr>
        <w:pStyle w:val="Heading3"/>
      </w:pPr>
      <w:r>
        <w:t xml:space="preserve">Business Consultant (Service Provider)</w:t>
      </w:r>
    </w:p>
    <w:p>
      <w:pPr>
        <w:pStyle w:val="FirstParagraph"/>
      </w:pPr>
      <w:r>
        <w:t xml:space="preserve">Amsterdam Strategic Advisory B.V.</w:t>
      </w:r>
    </w:p>
    <w:p>
      <w:pPr>
        <w:pStyle w:val="BodyText"/>
      </w:pPr>
      <w:r>
        <w:t xml:space="preserve">Attn: Mr. Hendrik van der Berg</w:t>
      </w:r>
    </w:p>
    <w:p>
      <w:pPr>
        <w:pStyle w:val="BodyText"/>
      </w:pPr>
      <w:r>
        <w:t xml:space="preserve">Lead Business Consultant</w:t>
      </w:r>
    </w:p>
    <w:p>
      <w:pPr>
        <w:pStyle w:val="BodyText"/>
      </w:pPr>
      <w:r>
        <w:t xml:space="preserve">Keizersgracht 245, 1016 CW</w:t>
      </w:r>
    </w:p>
    <w:p>
      <w:pPr>
        <w:pStyle w:val="BodyText"/>
      </w:pPr>
      <w:r>
        <w:t xml:space="preserve">Netherlands Amsterdam</w:t>
      </w:r>
    </w:p>
    <w:p>
      <w:pPr>
        <w:pStyle w:val="BodyText"/>
      </w:pPr>
      <w:r>
        <w:t xml:space="preserve">KvK: 87654321</w:t>
      </w:r>
    </w:p>
    <w:p>
      <w:pPr>
        <w:pStyle w:val="BodyText"/>
      </w:pPr>
      <w:r>
        <w:t xml:space="preserve">BTW (VAT): NL867530912B01</w:t>
      </w:r>
    </w:p>
    <w:p>
      <w:pPr>
        <w:pStyle w:val="BodyText"/>
      </w:pPr>
      <w:r>
        <w:t xml:space="preserve">Email: h.vanderberg@amsterdamstrategic.nl</w:t>
      </w:r>
    </w:p>
    <w:p>
      <w:pPr>
        <w:pStyle w:val="BodyText"/>
      </w:pPr>
      <w:r>
        <w:t xml:space="preserve">Phone: +31 (0)20 555 0142</w:t>
      </w:r>
    </w:p>
    <w:bookmarkEnd w:id="20"/>
    <w:bookmarkStart w:id="21" w:name="bill-to-client"/>
    <w:p>
      <w:pPr>
        <w:pStyle w:val="Heading3"/>
      </w:pPr>
      <w:r>
        <w:t xml:space="preserve">Bill To (Client)</w:t>
      </w:r>
    </w:p>
    <w:p>
      <w:pPr>
        <w:pStyle w:val="FirstParagraph"/>
      </w:pPr>
      <w:r>
        <w:t xml:space="preserve">De Vries Manufacturing Group N.V.</w:t>
      </w:r>
    </w:p>
    <w:p>
      <w:pPr>
        <w:pStyle w:val="BodyText"/>
      </w:pPr>
      <w:r>
        <w:t xml:space="preserve">Attn: Ms. Sarah de Vries</w:t>
      </w:r>
    </w:p>
    <w:p>
      <w:pPr>
        <w:pStyle w:val="BodyText"/>
      </w:pPr>
      <w:r>
        <w:t xml:space="preserve">Chief Operating Officer</w:t>
      </w:r>
    </w:p>
    <w:p>
      <w:pPr>
        <w:pStyle w:val="BodyText"/>
      </w:pPr>
      <w:r>
        <w:t xml:space="preserve">Herengracht 412, 1017 CA</w:t>
      </w:r>
    </w:p>
    <w:p>
      <w:pPr>
        <w:pStyle w:val="BodyText"/>
      </w:pPr>
      <w:r>
        <w:t xml:space="preserve">Netherlands Amsterdam</w:t>
      </w:r>
    </w:p>
    <w:p>
      <w:pPr>
        <w:pStyle w:val="BodyText"/>
      </w:pPr>
      <w:r>
        <w:t xml:space="preserve">KvK: 34567890</w:t>
      </w:r>
    </w:p>
    <w:p>
      <w:pPr>
        <w:pStyle w:val="BodyText"/>
      </w:pPr>
      <w:r>
        <w:t xml:space="preserve">BTW (VAT): NL812345678B01</w:t>
      </w:r>
    </w:p>
    <w:p>
      <w:pPr>
        <w:pStyle w:val="BodyText"/>
      </w:pPr>
      <w:r>
        <w:t xml:space="preserve">Email: s.devries@devriesmfg.nl</w:t>
      </w:r>
    </w:p>
    <w:p>
      <w:pPr>
        <w:pStyle w:val="BodyText"/>
      </w:pPr>
      <w:r>
        <w:t xml:space="preserve">Phone: +31 (0)20 555 0387</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Business Planning &amp; Operational Audit — Comprehensive review of manufacturing workflows, supply chain optimization, and market positioning strategy conducted by the Business Consultant in the Netherlands Amsterdam metropolitan area.</w:t>
            </w:r>
          </w:p>
        </w:tc>
        <w:tc>
          <w:tcPr/>
          <w:p>
            <w:pPr>
              <w:pStyle w:val="Compact"/>
              <w:jc w:val="left"/>
            </w:pPr>
            <w:r>
              <w:t xml:space="preserve">Jan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Organizational Restructuring Advisory — Design of new departmental hierarchies, role definitions, and performance KPI frameworks. Delivered as part of the Business Consultant engagement in Netherlands Amsterdam.</w:t>
            </w:r>
          </w:p>
        </w:tc>
        <w:tc>
          <w:tcPr/>
          <w:p>
            <w:pPr>
              <w:pStyle w:val="Compact"/>
              <w:jc w:val="left"/>
            </w:pPr>
            <w:r>
              <w:t xml:space="preserve">Feb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3</w:t>
            </w:r>
          </w:p>
        </w:tc>
        <w:tc>
          <w:tcPr/>
          <w:p>
            <w:pPr>
              <w:pStyle w:val="Compact"/>
              <w:jc w:val="left"/>
            </w:pPr>
            <w:r>
              <w:t xml:space="preserve">Digital Transformation Roadmap — Assessment of legacy IT systems, recommendation of cloud migration pathways, and implementation of data analytics dashboards. Business Consultant services rendered in Netherlands Amsterdam.</w:t>
            </w:r>
          </w:p>
        </w:tc>
        <w:tc>
          <w:tcPr/>
          <w:p>
            <w:pPr>
              <w:pStyle w:val="Compact"/>
              <w:jc w:val="left"/>
            </w:pPr>
            <w:r>
              <w:t xml:space="preserve">Mar 2025</w:t>
            </w:r>
          </w:p>
        </w:tc>
        <w:tc>
          <w:tcPr/>
          <w:p>
            <w:pPr>
              <w:pStyle w:val="Compact"/>
              <w:jc w:val="left"/>
            </w:pPr>
            <w:r>
              <w:t xml:space="preserve">52</w:t>
            </w:r>
          </w:p>
        </w:tc>
        <w:tc>
          <w:tcPr/>
          <w:p>
            <w:pPr>
              <w:pStyle w:val="Compact"/>
              <w:jc w:val="left"/>
            </w:pPr>
            <w:r>
              <w:t xml:space="preserve">€195.00</w:t>
            </w:r>
          </w:p>
        </w:tc>
        <w:tc>
          <w:tcPr/>
          <w:p>
            <w:pPr>
              <w:pStyle w:val="Compact"/>
              <w:jc w:val="left"/>
            </w:pPr>
            <w:r>
              <w:t xml:space="preserve">€10,140.00</w:t>
            </w:r>
          </w:p>
        </w:tc>
      </w:tr>
      <w:tr>
        <w:tc>
          <w:tcPr/>
          <w:p>
            <w:pPr>
              <w:pStyle w:val="Compact"/>
              <w:jc w:val="left"/>
            </w:pPr>
            <w:r>
              <w:t xml:space="preserve">4</w:t>
            </w:r>
          </w:p>
        </w:tc>
        <w:tc>
          <w:tcPr/>
          <w:p>
            <w:pPr>
              <w:pStyle w:val="Compact"/>
              <w:jc w:val="left"/>
            </w:pPr>
            <w:r>
              <w:t xml:space="preserve">Financial Forecasting &amp; Risk Mitigation — Development of 3-year financial projections, sensitivity analysis, and contingency planning. This Invoice covers the Business Consultant's advisory work completed in Netherlands Amsterdam.</w:t>
            </w:r>
          </w:p>
        </w:tc>
        <w:tc>
          <w:tcPr/>
          <w:p>
            <w:pPr>
              <w:pStyle w:val="Compact"/>
              <w:jc w:val="left"/>
            </w:pPr>
            <w:r>
              <w:t xml:space="preserve">Apr 2025</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Executive Leadership Training &amp; Change Management Workshops — Four on-site workshops for senior management team covering adaptive leadership, stakeholder communication, and cultural transformation. Conducted by the Business Consultant at the client's premises in Netherlands Amsterdam.</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6</w:t>
            </w:r>
          </w:p>
        </w:tc>
        <w:tc>
          <w:tcPr/>
          <w:p>
            <w:pPr>
              <w:pStyle w:val="Compact"/>
              <w:jc w:val="left"/>
            </w:pPr>
            <w:r>
              <w:t xml:space="preserve">Final Report, Recommendations &amp; 90-Day Implementation Support — Consolidated strategic report with actionable recommendations, follow-up consultations, and on-call support for the first quarter of implementation. Business Consultant deliverable for Netherlands Amsterdam engagement.</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bl>
    <w:p>
      <w:pPr>
        <w:pStyle w:val="BodyText"/>
      </w:pPr>
      <w:r>
        <w:t xml:space="preserve">Subtotal</w:t>
      </w:r>
      <w:r>
        <w:t xml:space="preserve"> </w:t>
      </w:r>
      <w:r>
        <w:t xml:space="preserve">€45,240.00</w:t>
      </w:r>
    </w:p>
    <w:p>
      <w:pPr>
        <w:pStyle w:val="BodyText"/>
      </w:pPr>
      <w:r>
        <w:t xml:space="preserve">VAT (21% — Netherlands Standard Rate)</w:t>
      </w:r>
      <w:r>
        <w:t xml:space="preserve"> </w:t>
      </w:r>
      <w:r>
        <w:t xml:space="preserve">€9,499.80</w:t>
      </w:r>
    </w:p>
    <w:p>
      <w:pPr>
        <w:pStyle w:val="BodyText"/>
      </w:pPr>
      <w:r>
        <w:t xml:space="preserve">Travel &amp; Accommodation Reimbursement</w:t>
      </w:r>
      <w:r>
        <w:t xml:space="preserve"> </w:t>
      </w:r>
      <w:r>
        <w:t xml:space="preserve">€1,235.50</w:t>
      </w:r>
    </w:p>
    <w:p>
      <w:pPr>
        <w:pStyle w:val="BodyText"/>
      </w:pPr>
      <w:r>
        <w:t xml:space="preserve">Travel &amp; Accommodation VAT (9%)</w:t>
      </w:r>
      <w:r>
        <w:t xml:space="preserve"> </w:t>
      </w:r>
      <w:r>
        <w:t xml:space="preserve">€111.20</w:t>
      </w:r>
    </w:p>
    <w:p>
      <w:pPr>
        <w:pStyle w:val="BodyText"/>
      </w:pPr>
      <w:r>
        <w:t xml:space="preserve">Total Amount Due</w:t>
      </w:r>
      <w:r>
        <w:t xml:space="preserve"> </w:t>
      </w:r>
      <w:r>
        <w:t xml:space="preserve">€56,086.50</w:t>
      </w:r>
    </w:p>
    <w:bookmarkStart w:id="22" w:name="payment-instructions"/>
    <w:p>
      <w:pPr>
        <w:pStyle w:val="Heading3"/>
      </w:pPr>
      <w:r>
        <w:t xml:space="preserve">Payment Instructions</w:t>
      </w:r>
    </w:p>
    <w:p>
      <w:pPr>
        <w:pStyle w:val="FirstParagraph"/>
      </w:pPr>
      <w:r>
        <w:rPr>
          <w:bCs/>
          <w:b/>
        </w:rPr>
        <w:t xml:space="preserve">Bank:</w:t>
      </w:r>
      <w:r>
        <w:t xml:space="preserve"> </w:t>
      </w:r>
      <w:r>
        <w:t xml:space="preserve">ING Bank N.V.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INV-2025-04872</w:t>
      </w:r>
    </w:p>
    <w:p>
      <w:pPr>
        <w:pStyle w:val="BodyText"/>
      </w:pPr>
      <w:r>
        <w:rPr>
          <w:bCs/>
          <w:b/>
        </w:rPr>
        <w:t xml:space="preserve">Payment Method:</w:t>
      </w:r>
      <w:r>
        <w:t xml:space="preserve"> </w:t>
      </w:r>
      <w:r>
        <w:t xml:space="preserve">SEPA Direct Debit / Bank Transfer</w:t>
      </w:r>
    </w:p>
    <w:p>
      <w:pPr>
        <w:pStyle w:val="BodyText"/>
      </w:pPr>
      <w:r>
        <w:rPr>
          <w:bCs/>
          <w:b/>
        </w:rPr>
        <w:t xml:space="preserve">Payment Terms:</w:t>
      </w:r>
      <w:r>
        <w:t xml:space="preserve"> </w:t>
      </w:r>
      <w:r>
        <w:t xml:space="preserve">Net 30 days from Invoice date</w:t>
      </w:r>
    </w:p>
    <w:bookmarkEnd w:id="22"/>
    <w:bookmarkStart w:id="23" w:name="invoice-notes"/>
    <w:p>
      <w:pPr>
        <w:pStyle w:val="Heading3"/>
      </w:pPr>
      <w:r>
        <w:t xml:space="preserve">Invoice Notes</w:t>
      </w:r>
    </w:p>
    <w:p>
      <w:pPr>
        <w:pStyle w:val="FirstParagraph"/>
      </w:pPr>
      <w:r>
        <w:t xml:space="preserve">This Invoice has been issued in accordance with the Service Agreement dated 12 January 2025 between Amsterdam Strategic Advisory B.V. and De Vries Manufacturing Group N.V. All services were performed by a qualified Business Consultant operating within the jurisdiction of Netherlands Amsterdam.</w:t>
      </w:r>
    </w:p>
    <w:p>
      <w:pPr>
        <w:pStyle w:val="BodyText"/>
      </w:pPr>
      <w:r>
        <w:t xml:space="preserve">Payment is due within thirty (30) calendar days of the Invoice issue date. Late payments will incur interest at the statutory rate as defined under Dutch Civil Code Article 6:119a.</w:t>
      </w:r>
    </w:p>
    <w:bookmarkEnd w:id="23"/>
    <w:bookmarkStart w:id="24" w:name="terms-conditions"/>
    <w:p>
      <w:pPr>
        <w:pStyle w:val="Heading3"/>
      </w:pPr>
      <w:r>
        <w:t xml:space="preserve">Terms &amp; Conditions</w:t>
      </w:r>
    </w:p>
    <w:p>
      <w:pPr>
        <w:numPr>
          <w:ilvl w:val="0"/>
          <w:numId w:val="1001"/>
        </w:numPr>
        <w:pStyle w:val="Compact"/>
      </w:pPr>
      <w:r>
        <w:t xml:space="preserve">This Invoice constitutes a formal request for payment for Business Consultant services rendered in Netherlands Amsterdam during the period of January 2025 through June 2025.</w:t>
      </w:r>
    </w:p>
    <w:p>
      <w:pPr>
        <w:numPr>
          <w:ilvl w:val="0"/>
          <w:numId w:val="1001"/>
        </w:numPr>
        <w:pStyle w:val="Compact"/>
      </w:pPr>
      <w:r>
        <w:t xml:space="preserve">All rates quoted are exclusive of VAT. VAT is applied at the standard Dutch rate of 21% for professional services and 9% for travel and accommodation costs, in compliance with the Dutch Tax Administration (Belastingdienst) regulations.</w:t>
      </w:r>
    </w:p>
    <w:p>
      <w:pPr>
        <w:numPr>
          <w:ilvl w:val="0"/>
          <w:numId w:val="1001"/>
        </w:numPr>
        <w:pStyle w:val="Compact"/>
      </w:pPr>
      <w:r>
        <w:t xml:space="preserve">The Business Consultant reserves the right to suspend ongoing services if payment is not received within the stipulated 30-day period. A late payment surcharge of 1.5% per month will be applied to outstanding balances.</w:t>
      </w:r>
    </w:p>
    <w:p>
      <w:pPr>
        <w:numPr>
          <w:ilvl w:val="0"/>
          <w:numId w:val="1001"/>
        </w:numPr>
        <w:pStyle w:val="Compact"/>
      </w:pPr>
      <w:r>
        <w:t xml:space="preserve">All intellectual property, reports, and strategic documents produced by the Business Consultant during this engagement in Netherlands Amsterdam remain the property of Amsterdam Strategic Advisory B.V. unless otherwise stated in the master Service Agreement.</w:t>
      </w:r>
    </w:p>
    <w:p>
      <w:pPr>
        <w:numPr>
          <w:ilvl w:val="0"/>
          <w:numId w:val="1001"/>
        </w:numPr>
        <w:pStyle w:val="Compact"/>
      </w:pPr>
      <w:r>
        <w:t xml:space="preserve">Disputes arising from this Invoice or the underlying services shall be resolved through mediation in the Netherlands Amsterdam district, in accordance with Dutch commercial law. If mediation fails, the competent court in Amsterdam shall have exclusive jurisdiction.</w:t>
      </w:r>
    </w:p>
    <w:p>
      <w:pPr>
        <w:numPr>
          <w:ilvl w:val="0"/>
          <w:numId w:val="1001"/>
        </w:numPr>
        <w:pStyle w:val="Compact"/>
      </w:pPr>
      <w:r>
        <w:t xml:space="preserve">This Invoice is valid for 90 days from the date of issue. After this period, the Business Consultant reserves the right to reissue the Invoice with updated rates if applicable.</w:t>
      </w:r>
    </w:p>
    <w:p>
      <w:pPr>
        <w:numPr>
          <w:ilvl w:val="0"/>
          <w:numId w:val="1001"/>
        </w:numPr>
        <w:pStyle w:val="Compact"/>
      </w:pPr>
      <w:r>
        <w:t xml:space="preserve">Confidentiality obligations as outlined in the Non-Disclosure Agreement (NDA) dated 12 January 2025 remain in full force and effect, independent of the settlement of this Invoice.</w:t>
      </w:r>
    </w:p>
    <w:bookmarkEnd w:id="24"/>
    <w:p>
      <w:pPr>
        <w:pStyle w:val="FirstParagraph"/>
      </w:pPr>
      <w:r>
        <w:rPr>
          <w:bCs/>
          <w:b/>
        </w:rPr>
        <w:t xml:space="preserve">Amsterdam Strategic Advisory B.V.</w:t>
      </w:r>
      <w:r>
        <w:t xml:space="preserve"> </w:t>
      </w:r>
      <w:r>
        <w:t xml:space="preserve">— Registered in the Netherlands Chamber of Commerce (KvK) under number 87654321</w:t>
      </w:r>
    </w:p>
    <w:p>
      <w:pPr>
        <w:pStyle w:val="BodyText"/>
      </w:pPr>
      <w:r>
        <w:t xml:space="preserve">Keizersgracht 245, 1016 CW Netherlands Amsterdam — Tel: +31 (0)20 555 0142 — info@amsterdamstrategic.nl</w:t>
      </w:r>
    </w:p>
    <w:p>
      <w:pPr>
        <w:pStyle w:val="BodyText"/>
      </w:pPr>
      <w:r>
        <w:t xml:space="preserve">This Invoice was generated electronically and is valid without a physical signature. For queries regarding this Invoice, please contact the Business Consultant directly at the address above.</w:t>
      </w:r>
    </w:p>
    <w:p>
      <w:pPr>
        <w:pStyle w:val="BodyText"/>
      </w:pPr>
      <w:r>
        <w:t xml:space="preserve">© 2025 Amsterdam Strategic Advisory B.V. All rights reserved. Invoice INV-2025-04872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Netherlands Amsterdam</dc:title>
  <dc:creator/>
  <dc:language>en</dc:language>
  <cp:keywords/>
  <dcterms:created xsi:type="dcterms:W3CDTF">2026-10-10T04:12:47Z</dcterms:created>
  <dcterms:modified xsi:type="dcterms:W3CDTF">2026-10-10T04:12:47Z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