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strategic-advisory-partners-s.a.c."/>
    <w:p>
      <w:pPr>
        <w:pStyle w:val="Heading1"/>
      </w:pPr>
      <w:r>
        <w:t xml:space="preserve">Strategic Advisory Partners S.A.C.</w:t>
      </w:r>
    </w:p>
    <w:p>
      <w:pPr>
        <w:pStyle w:val="FirstParagraph"/>
      </w:pPr>
      <w:r>
        <w:t xml:space="preserve">RUC: 20601234567</w:t>
      </w:r>
    </w:p>
    <w:p>
      <w:pPr>
        <w:pStyle w:val="BodyText"/>
      </w:pPr>
      <w:r>
        <w:t xml:space="preserve">Av. Javier Prado Este 1250, Of. 804</w:t>
      </w:r>
    </w:p>
    <w:p>
      <w:pPr>
        <w:pStyle w:val="BodyText"/>
      </w:pPr>
      <w:r>
        <w:t xml:space="preserve">San Isidro, Peru Lima, 15078</w:t>
      </w:r>
    </w:p>
    <w:p>
      <w:pPr>
        <w:pStyle w:val="BodyText"/>
      </w:pPr>
      <w:r>
        <w:t xml:space="preserve">Phone: +51 1 456-7890</w:t>
      </w:r>
    </w:p>
    <w:p>
      <w:pPr>
        <w:pStyle w:val="BodyText"/>
      </w:pPr>
      <w:r>
        <w:t xml:space="preserve">Email: billing@strategicadvisory.pe</w:t>
      </w:r>
    </w:p>
    <w:bookmarkEnd w:id="20"/>
    <w:bookmarkStart w:id="21" w:name="invoice"/>
    <w:p>
      <w:pPr>
        <w:pStyle w:val="Heading2"/>
      </w:pPr>
      <w:r>
        <w:t xml:space="preserve">INVOICE</w:t>
      </w:r>
    </w:p>
    <w:p>
      <w:pPr>
        <w:pStyle w:val="FirstParagraph"/>
      </w:pPr>
      <w:r>
        <w:t xml:space="preserve">Business Consultant Services</w:t>
      </w:r>
    </w:p>
    <w:p>
      <w:pPr>
        <w:pStyle w:val="BodyText"/>
      </w:pPr>
      <w:r>
        <w:t xml:space="preserve">Invoice No: INV-2024-0847</w:t>
      </w:r>
    </w:p>
    <w:p>
      <w:pPr>
        <w:pStyle w:val="BodyText"/>
      </w:pPr>
      <w:r>
        <w:t xml:space="preserve">Issue Date: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Grupo Andino Comercial S.A.C.</w:t>
      </w:r>
    </w:p>
    <w:p>
      <w:pPr>
        <w:pStyle w:val="BodyText"/>
      </w:pPr>
      <w:r>
        <w:rPr>
          <w:bCs/>
          <w:b/>
        </w:rPr>
        <w:t xml:space="preserve">RUC:</w:t>
      </w:r>
      <w:r>
        <w:t xml:space="preserve"> </w:t>
      </w:r>
      <w:r>
        <w:t xml:space="preserve">20509876543</w:t>
      </w:r>
    </w:p>
    <w:p>
      <w:pPr>
        <w:pStyle w:val="BodyText"/>
      </w:pPr>
      <w:r>
        <w:rPr>
          <w:bCs/>
          <w:b/>
        </w:rPr>
        <w:t xml:space="preserve">Address:</w:t>
      </w:r>
      <w:r>
        <w:t xml:space="preserve"> </w:t>
      </w:r>
      <w:r>
        <w:t xml:space="preserve">Jr. de la Unión 456, Piso 3</w:t>
      </w:r>
    </w:p>
    <w:p>
      <w:pPr>
        <w:pStyle w:val="BodyText"/>
      </w:pPr>
      <w:r>
        <w:rPr>
          <w:bCs/>
          <w:b/>
        </w:rPr>
        <w:t xml:space="preserve">City:</w:t>
      </w:r>
      <w:r>
        <w:t xml:space="preserve"> </w:t>
      </w:r>
      <w:r>
        <w:t xml:space="preserve">Peru Lima, San Miguel, 15002</w:t>
      </w:r>
    </w:p>
    <w:p>
      <w:pPr>
        <w:pStyle w:val="BodyText"/>
      </w:pPr>
      <w:r>
        <w:rPr>
          <w:bCs/>
          <w:b/>
        </w:rPr>
        <w:t xml:space="preserve">Contact:</w:t>
      </w:r>
      <w:r>
        <w:t xml:space="preserve"> </w:t>
      </w:r>
      <w:r>
        <w:t xml:space="preserve">Ing. Carlos Mendoza</w:t>
      </w:r>
    </w:p>
    <w:p>
      <w:pPr>
        <w:pStyle w:val="BodyText"/>
      </w:pPr>
      <w:r>
        <w:rPr>
          <w:bCs/>
          <w:b/>
        </w:rPr>
        <w:t xml:space="preserve">Email:</w:t>
      </w:r>
      <w:r>
        <w:t xml:space="preserve"> </w:t>
      </w:r>
      <w:r>
        <w:t xml:space="preserve">c.mendoza@grupoandino.pe</w:t>
      </w:r>
    </w:p>
    <w:bookmarkEnd w:id="22"/>
    <w:bookmarkStart w:id="23" w:name="invoice-reference"/>
    <w:p>
      <w:pPr>
        <w:pStyle w:val="Heading3"/>
      </w:pPr>
      <w:r>
        <w:t xml:space="preserve">Invoice Reference</w:t>
      </w:r>
    </w:p>
    <w:p>
      <w:pPr>
        <w:pStyle w:val="FirstParagraph"/>
      </w:pPr>
      <w:r>
        <w:rPr>
          <w:bCs/>
          <w:b/>
        </w:rPr>
        <w:t xml:space="preserve">Service Period:</w:t>
      </w:r>
      <w:r>
        <w:t xml:space="preserve"> </w:t>
      </w:r>
      <w:r>
        <w:t xml:space="preserve">May 1 – May 31, 2025</w:t>
      </w:r>
    </w:p>
    <w:p>
      <w:pPr>
        <w:pStyle w:val="BodyText"/>
      </w:pPr>
      <w:r>
        <w:rPr>
          <w:bCs/>
          <w:b/>
        </w:rPr>
        <w:t xml:space="preserve">Project Code:</w:t>
      </w:r>
      <w:r>
        <w:t xml:space="preserve"> </w:t>
      </w:r>
      <w:r>
        <w:t xml:space="preserve">BCP-LIM-2025-034</w:t>
      </w:r>
    </w:p>
    <w:p>
      <w:pPr>
        <w:pStyle w:val="BodyText"/>
      </w:pPr>
      <w:r>
        <w:rPr>
          <w:bCs/>
          <w:b/>
        </w:rPr>
        <w:t xml:space="preserve">Business Consultant:</w:t>
      </w:r>
      <w:r>
        <w:t xml:space="preserve"> </w:t>
      </w:r>
      <w:r>
        <w:t xml:space="preserve">Lic. María Fernanda Rojas</w:t>
      </w:r>
    </w:p>
    <w:p>
      <w:pPr>
        <w:pStyle w:val="BodyText"/>
      </w:pPr>
      <w:r>
        <w:rPr>
          <w:bCs/>
          <w:b/>
        </w:rPr>
        <w:t xml:space="preserve">Specialization:</w:t>
      </w:r>
      <w:r>
        <w:t xml:space="preserve"> </w:t>
      </w:r>
      <w:r>
        <w:t xml:space="preserve">Operational Strategy &amp; Market Analysis</w:t>
      </w:r>
    </w:p>
    <w:p>
      <w:pPr>
        <w:pStyle w:val="BodyText"/>
      </w:pPr>
      <w:r>
        <w:rPr>
          <w:bCs/>
          <w:b/>
        </w:rPr>
        <w:t xml:space="preserve">Payment Method:</w:t>
      </w:r>
      <w:r>
        <w:t xml:space="preserve"> </w:t>
      </w:r>
      <w:r>
        <w:t xml:space="preserve">Bank Transfer (BCP)</w:t>
      </w:r>
    </w:p>
    <w:p>
      <w:pPr>
        <w:pStyle w:val="BodyText"/>
      </w:pPr>
      <w:r>
        <w:rPr>
          <w:bCs/>
          <w:b/>
        </w:rPr>
        <w:t xml:space="preserve">Account No:</w:t>
      </w:r>
      <w:r>
        <w:t xml:space="preserve"> </w:t>
      </w:r>
      <w:r>
        <w:t xml:space="preserve">191-12345678-0-12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Hours</w:t>
            </w:r>
          </w:p>
        </w:tc>
        <w:tc>
          <w:tcPr/>
          <w:p>
            <w:pPr>
              <w:pStyle w:val="Compact"/>
              <w:jc w:val="left"/>
            </w:pPr>
            <w:r>
              <w:t xml:space="preserve">Rate (PEN)</w:t>
            </w:r>
          </w:p>
        </w:tc>
        <w:tc>
          <w:tcPr/>
          <w:p>
            <w:pPr>
              <w:pStyle w:val="Compact"/>
              <w:jc w:val="left"/>
            </w:pPr>
            <w:r>
              <w:t xml:space="preserve">Amount (PEN)</w:t>
            </w:r>
          </w:p>
        </w:tc>
      </w:tr>
      <w:tr>
        <w:tc>
          <w:tcPr/>
          <w:p>
            <w:pPr>
              <w:pStyle w:val="Compact"/>
              <w:jc w:val="left"/>
            </w:pPr>
            <w:r>
              <w:t xml:space="preserve">1</w:t>
            </w:r>
          </w:p>
        </w:tc>
        <w:tc>
          <w:tcPr/>
          <w:p>
            <w:pPr>
              <w:pStyle w:val="Compact"/>
              <w:jc w:val="left"/>
            </w:pPr>
            <w:r>
              <w:t xml:space="preserve">Strategic Business Planning Session – Initial assessment of organizational structure and operational workflows for Grupo Andino Comercial in the Peru Lima metropolitan area.</w:t>
            </w:r>
          </w:p>
        </w:tc>
        <w:tc>
          <w:tcPr/>
          <w:p>
            <w:pPr>
              <w:pStyle w:val="Compact"/>
              <w:jc w:val="left"/>
            </w:pPr>
            <w:r>
              <w:t xml:space="preserve">8</w:t>
            </w:r>
          </w:p>
        </w:tc>
        <w:tc>
          <w:tcPr/>
          <w:p>
            <w:pPr>
              <w:pStyle w:val="Compact"/>
              <w:jc w:val="left"/>
            </w:pPr>
            <w:r>
              <w:t xml:space="preserve">S/ 350.00</w:t>
            </w:r>
          </w:p>
        </w:tc>
        <w:tc>
          <w:tcPr/>
          <w:p>
            <w:pPr>
              <w:pStyle w:val="Compact"/>
              <w:jc w:val="left"/>
            </w:pPr>
            <w:r>
              <w:t xml:space="preserve">S/ 2,800.00</w:t>
            </w:r>
          </w:p>
        </w:tc>
      </w:tr>
      <w:tr>
        <w:tc>
          <w:tcPr/>
          <w:p>
            <w:pPr>
              <w:pStyle w:val="Compact"/>
              <w:jc w:val="left"/>
            </w:pPr>
            <w:r>
              <w:t xml:space="preserve">2</w:t>
            </w:r>
          </w:p>
        </w:tc>
        <w:tc>
          <w:tcPr/>
          <w:p>
            <w:pPr>
              <w:pStyle w:val="Compact"/>
              <w:jc w:val="left"/>
            </w:pPr>
            <w:r>
              <w:t xml:space="preserve">Market Analysis &amp; Competitive Intelligence Report – Comprehensive study of the retail sector in Peru Lima, including consumer behavior trends, competitor positioning, and growth opportunities for the fiscal year 2025.</w:t>
            </w:r>
          </w:p>
        </w:tc>
        <w:tc>
          <w:tcPr/>
          <w:p>
            <w:pPr>
              <w:pStyle w:val="Compact"/>
              <w:jc w:val="left"/>
            </w:pPr>
            <w:r>
              <w:t xml:space="preserve">16</w:t>
            </w:r>
          </w:p>
        </w:tc>
        <w:tc>
          <w:tcPr/>
          <w:p>
            <w:pPr>
              <w:pStyle w:val="Compact"/>
              <w:jc w:val="left"/>
            </w:pPr>
            <w:r>
              <w:t xml:space="preserve">S/ 350.00</w:t>
            </w:r>
          </w:p>
        </w:tc>
        <w:tc>
          <w:tcPr/>
          <w:p>
            <w:pPr>
              <w:pStyle w:val="Compact"/>
              <w:jc w:val="left"/>
            </w:pPr>
            <w:r>
              <w:t xml:space="preserve">S/ 5,600.00</w:t>
            </w:r>
          </w:p>
        </w:tc>
      </w:tr>
      <w:tr>
        <w:tc>
          <w:tcPr/>
          <w:p>
            <w:pPr>
              <w:pStyle w:val="Compact"/>
              <w:jc w:val="left"/>
            </w:pPr>
            <w:r>
              <w:t xml:space="preserve">3</w:t>
            </w:r>
          </w:p>
        </w:tc>
        <w:tc>
          <w:tcPr/>
          <w:p>
            <w:pPr>
              <w:pStyle w:val="Compact"/>
              <w:jc w:val="left"/>
            </w:pPr>
            <w:r>
              <w:t xml:space="preserve">Operational Efficiency Audit – On-site evaluation of supply chain logistics, inventory management systems, and warehouse operations at the client's facility in Peru Lima, with detailed recommendations for cost reduction.</w:t>
            </w:r>
          </w:p>
        </w:tc>
        <w:tc>
          <w:tcPr/>
          <w:p>
            <w:pPr>
              <w:pStyle w:val="Compact"/>
              <w:jc w:val="left"/>
            </w:pPr>
            <w:r>
              <w:t xml:space="preserve">12</w:t>
            </w:r>
          </w:p>
        </w:tc>
        <w:tc>
          <w:tcPr/>
          <w:p>
            <w:pPr>
              <w:pStyle w:val="Compact"/>
              <w:jc w:val="left"/>
            </w:pPr>
            <w:r>
              <w:t xml:space="preserve">S/ 350.00</w:t>
            </w:r>
          </w:p>
        </w:tc>
        <w:tc>
          <w:tcPr/>
          <w:p>
            <w:pPr>
              <w:pStyle w:val="Compact"/>
              <w:jc w:val="left"/>
            </w:pPr>
            <w:r>
              <w:t xml:space="preserve">S/ 4,200.00</w:t>
            </w:r>
          </w:p>
        </w:tc>
      </w:tr>
      <w:tr>
        <w:tc>
          <w:tcPr/>
          <w:p>
            <w:pPr>
              <w:pStyle w:val="Compact"/>
              <w:jc w:val="left"/>
            </w:pPr>
            <w:r>
              <w:t xml:space="preserve">4</w:t>
            </w:r>
          </w:p>
        </w:tc>
        <w:tc>
          <w:tcPr/>
          <w:p>
            <w:pPr>
              <w:pStyle w:val="Compact"/>
              <w:jc w:val="left"/>
            </w:pPr>
            <w:r>
              <w:t xml:space="preserve">Leadership &amp; Team Development Workshop – Facilitated training session for mid-level management on strategic decision-making, performance metrics, and cross-departmental collaboration aligned with the Business Consultant's recommended organizational model.</w:t>
            </w:r>
          </w:p>
        </w:tc>
        <w:tc>
          <w:tcPr/>
          <w:p>
            <w:pPr>
              <w:pStyle w:val="Compact"/>
              <w:jc w:val="left"/>
            </w:pPr>
            <w:r>
              <w:t xml:space="preserve">6</w:t>
            </w:r>
          </w:p>
        </w:tc>
        <w:tc>
          <w:tcPr/>
          <w:p>
            <w:pPr>
              <w:pStyle w:val="Compact"/>
              <w:jc w:val="left"/>
            </w:pPr>
            <w:r>
              <w:t xml:space="preserve">S/ 400.00</w:t>
            </w:r>
          </w:p>
        </w:tc>
        <w:tc>
          <w:tcPr/>
          <w:p>
            <w:pPr>
              <w:pStyle w:val="Compact"/>
              <w:jc w:val="left"/>
            </w:pPr>
            <w:r>
              <w:t xml:space="preserve">S/ 2,400.00</w:t>
            </w:r>
          </w:p>
        </w:tc>
      </w:tr>
      <w:tr>
        <w:tc>
          <w:tcPr/>
          <w:p>
            <w:pPr>
              <w:pStyle w:val="Compact"/>
              <w:jc w:val="left"/>
            </w:pPr>
            <w:r>
              <w:t xml:space="preserve">5</w:t>
            </w:r>
          </w:p>
        </w:tc>
        <w:tc>
          <w:tcPr/>
          <w:p>
            <w:pPr>
              <w:pStyle w:val="Compact"/>
              <w:jc w:val="left"/>
            </w:pPr>
            <w:r>
              <w:t xml:space="preserve">Digital Transformation Roadmap – Development of a 12-month implementation plan for integrating ERP systems, e-commerce platforms, and data analytics tools tailored to the Peru Lima business environment and regulatory framework.</w:t>
            </w:r>
          </w:p>
        </w:tc>
        <w:tc>
          <w:tcPr/>
          <w:p>
            <w:pPr>
              <w:pStyle w:val="Compact"/>
              <w:jc w:val="left"/>
            </w:pPr>
            <w:r>
              <w:t xml:space="preserve">10</w:t>
            </w:r>
          </w:p>
        </w:tc>
        <w:tc>
          <w:tcPr/>
          <w:p>
            <w:pPr>
              <w:pStyle w:val="Compact"/>
              <w:jc w:val="left"/>
            </w:pPr>
            <w:r>
              <w:t xml:space="preserve">S/ 350.00</w:t>
            </w:r>
          </w:p>
        </w:tc>
        <w:tc>
          <w:tcPr/>
          <w:p>
            <w:pPr>
              <w:pStyle w:val="Compact"/>
              <w:jc w:val="left"/>
            </w:pPr>
            <w:r>
              <w:t xml:space="preserve">S/ 3,500.00</w:t>
            </w:r>
          </w:p>
        </w:tc>
      </w:tr>
      <w:tr>
        <w:tc>
          <w:tcPr/>
          <w:p>
            <w:pPr>
              <w:pStyle w:val="Compact"/>
              <w:jc w:val="left"/>
            </w:pPr>
            <w:r>
              <w:t xml:space="preserve">6</w:t>
            </w:r>
          </w:p>
        </w:tc>
        <w:tc>
          <w:tcPr/>
          <w:p>
            <w:pPr>
              <w:pStyle w:val="Compact"/>
              <w:jc w:val="left"/>
            </w:pPr>
            <w:r>
              <w:t xml:space="preserve">Regulatory Compliance Review – Assessment of tax obligations, labor law compliance, and commercial registration requirements specific to operating a commercial enterprise in Peru Lima, including SUNAT and municipal permit verification.</w:t>
            </w:r>
          </w:p>
        </w:tc>
        <w:tc>
          <w:tcPr/>
          <w:p>
            <w:pPr>
              <w:pStyle w:val="Compact"/>
              <w:jc w:val="left"/>
            </w:pPr>
            <w:r>
              <w:t xml:space="preserve">4</w:t>
            </w:r>
          </w:p>
        </w:tc>
        <w:tc>
          <w:tcPr/>
          <w:p>
            <w:pPr>
              <w:pStyle w:val="Compact"/>
              <w:jc w:val="left"/>
            </w:pPr>
            <w:r>
              <w:t xml:space="preserve">S/ 350.00</w:t>
            </w:r>
          </w:p>
        </w:tc>
        <w:tc>
          <w:tcPr/>
          <w:p>
            <w:pPr>
              <w:pStyle w:val="Compact"/>
              <w:jc w:val="left"/>
            </w:pPr>
            <w:r>
              <w:t xml:space="preserve">S/ 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19,900.00</w:t>
            </w:r>
          </w:p>
        </w:tc>
      </w:tr>
      <w:tr>
        <w:tc>
          <w:tcPr/>
          <w:p>
            <w:pPr>
              <w:pStyle w:val="Compact"/>
              <w:jc w:val="left"/>
            </w:pPr>
            <w:r>
              <w:t xml:space="preserve">IGV (18%)</w:t>
            </w:r>
          </w:p>
        </w:tc>
        <w:tc>
          <w:tcPr/>
          <w:p>
            <w:pPr>
              <w:pStyle w:val="Compact"/>
              <w:jc w:val="left"/>
            </w:pPr>
            <w:r>
              <w:t xml:space="preserve">S/ 3,582.00</w:t>
            </w:r>
          </w:p>
        </w:tc>
      </w:tr>
      <w:tr>
        <w:tc>
          <w:tcPr/>
          <w:p>
            <w:pPr>
              <w:pStyle w:val="Compact"/>
              <w:jc w:val="left"/>
            </w:pPr>
            <w:r>
              <w:t xml:space="preserve">Discount (Early Payment – 5%)</w:t>
            </w:r>
          </w:p>
        </w:tc>
        <w:tc>
          <w:tcPr/>
          <w:p>
            <w:pPr>
              <w:pStyle w:val="Compact"/>
              <w:jc w:val="left"/>
            </w:pPr>
            <w:r>
              <w:t xml:space="preserve">- S/ 995.00</w:t>
            </w:r>
          </w:p>
        </w:tc>
      </w:tr>
      <w:tr>
        <w:tc>
          <w:tcPr/>
          <w:p>
            <w:pPr>
              <w:pStyle w:val="Compact"/>
              <w:jc w:val="left"/>
            </w:pPr>
            <w:r>
              <w:t xml:space="preserve">GRAND TOTAL (PEN)</w:t>
            </w:r>
          </w:p>
        </w:tc>
        <w:tc>
          <w:tcPr/>
          <w:p>
            <w:pPr>
              <w:pStyle w:val="Compact"/>
              <w:jc w:val="left"/>
            </w:pPr>
            <w:r>
              <w:t xml:space="preserve">S/ 22,487.00</w:t>
            </w:r>
          </w:p>
        </w:tc>
      </w:tr>
    </w:tbl>
    <w:bookmarkStart w:id="24" w:name="X77a9eabca64472955c3be9a47811e1b60652f7c"/>
    <w:p>
      <w:pPr>
        <w:pStyle w:val="Heading3"/>
      </w:pPr>
      <w:r>
        <w:t xml:space="preserve">Terms &amp; Conditions – Invoice for Business Consultant Services in Peru Lima</w:t>
      </w:r>
    </w:p>
    <w:p>
      <w:pPr>
        <w:numPr>
          <w:ilvl w:val="0"/>
          <w:numId w:val="1001"/>
        </w:numPr>
        <w:pStyle w:val="Compact"/>
      </w:pPr>
      <w:r>
        <w:t xml:space="preserve">This Invoice represents the professional fees for Business Consultant services rendered by Strategic Advisory Partners S.A.C. to Grupo Andino Comercial S.A.C. for the period specified above. All services were performed in accordance with the contractual agreement signed on April 20, 2025, and executed within the jurisdiction of Peru Lima.</w:t>
      </w:r>
    </w:p>
    <w:p>
      <w:pPr>
        <w:numPr>
          <w:ilvl w:val="0"/>
          <w:numId w:val="1001"/>
        </w:numPr>
        <w:pStyle w:val="Compact"/>
      </w:pPr>
      <w:r>
        <w:t xml:space="preserve">Payment is due within thirty (30) calendar days from the issue date of this Invoice. Late payments shall accrue interest at the rate established by the Superintendencia de Banca, Seguros y AFP (SBS) of Peru, applied on a daily basis until full settlement is received.</w:t>
      </w:r>
    </w:p>
    <w:p>
      <w:pPr>
        <w:numPr>
          <w:ilvl w:val="0"/>
          <w:numId w:val="1001"/>
        </w:numPr>
        <w:pStyle w:val="Compact"/>
      </w:pPr>
      <w:r>
        <w:t xml:space="preserve">All amounts stated in this Invoice are denominated in Peruvian Soles (PEN) and are subject to the applicable IGV (Impuesto General a las Ventas) of 18% as mandated by the Peruvian tax authority (SUNAT). The Business Consultant's professional services are fully compliant with the regulations governing professional services in Peru Lima.</w:t>
      </w:r>
    </w:p>
    <w:p>
      <w:pPr>
        <w:numPr>
          <w:ilvl w:val="0"/>
          <w:numId w:val="1001"/>
        </w:numPr>
        <w:pStyle w:val="Compact"/>
      </w:pPr>
      <w:r>
        <w:t xml:space="preserve">Any dispute arising from this Invoice or the associated Business Consultant engagement shall be resolved through the competent courts of Peru Lima, or alternatively through arbitration at the Centro de Arbitraje y Conciliación de la Cámara de Comercio de Lima, in accordance with Peruvian commercial law.</w:t>
      </w:r>
    </w:p>
    <w:p>
      <w:pPr>
        <w:numPr>
          <w:ilvl w:val="0"/>
          <w:numId w:val="1001"/>
        </w:numPr>
        <w:pStyle w:val="Compact"/>
      </w:pPr>
      <w:r>
        <w:t xml:space="preserve">The client acknowledges that the deliverables, reports, and strategic recommendations provided by the Business Consultant are proprietary intellectual property of Strategic Advisory Partners S.A.C. and may not be reproduced, distributed, or shared with third parties without prior written consent.</w:t>
      </w:r>
    </w:p>
    <w:p>
      <w:pPr>
        <w:numPr>
          <w:ilvl w:val="0"/>
          <w:numId w:val="1001"/>
        </w:numPr>
        <w:pStyle w:val="Compact"/>
      </w:pPr>
      <w:r>
        <w:t xml:space="preserve">This Invoice must be presented to the client's accounting department for processing. A copy of the payment receipt should be returned to our billing office in Peru Lima within five business days of the transaction to confirm settlement.</w:t>
      </w:r>
    </w:p>
    <w:p>
      <w:pPr>
        <w:numPr>
          <w:ilvl w:val="0"/>
          <w:numId w:val="1001"/>
        </w:numPr>
        <w:pStyle w:val="Compact"/>
      </w:pPr>
      <w:r>
        <w:t xml:space="preserve">For any questions regarding this Invoice or the scope of Business Consultant services rendered, please contact our billing department at billing@strategicadvisory.pe or call +51 1 456-7890, extension 204, during business hours (Monday to Friday, 9:00 AM – 6:00 PM, Peru Lima time).</w:t>
      </w:r>
    </w:p>
    <w:bookmarkEnd w:id="24"/>
    <w:p>
      <w:pPr>
        <w:pStyle w:val="FirstParagraph"/>
      </w:pPr>
      <w:r>
        <w:rPr>
          <w:bCs/>
          <w:b/>
        </w:rPr>
        <w:t xml:space="preserve">Strategic Advisory Partners S.A.C.</w:t>
      </w:r>
      <w:r>
        <w:t xml:space="preserve"> </w:t>
      </w:r>
      <w:r>
        <w:t xml:space="preserve">– Professional Business Consultant Firm</w:t>
      </w:r>
    </w:p>
    <w:p>
      <w:pPr>
        <w:pStyle w:val="BodyText"/>
      </w:pPr>
      <w:r>
        <w:t xml:space="preserve">Registered in the Public Registry of Peru Lima | RUC: 20601234567</w:t>
      </w:r>
    </w:p>
    <w:p>
      <w:pPr>
        <w:pStyle w:val="BodyText"/>
      </w:pPr>
      <w:r>
        <w:t xml:space="preserve">This Invoice was generated electronically in compliance with SUNAT's electronic invoicing regulations (Sistema de Emisión de Comprobantes Electrónicos – SECE).</w:t>
      </w:r>
    </w:p>
    <w:p>
      <w:pPr>
        <w:pStyle w:val="BodyText"/>
      </w:pPr>
      <w:r>
        <w:t xml:space="preserve">Thank you for your business. We value our partnership and look forward to continuing to support your growth in Peru Lima.</w:t>
      </w:r>
    </w:p>
    <w:p>
      <w:pPr>
        <w:pStyle w:val="BodyText"/>
      </w:pPr>
      <w:r>
        <w:t xml:space="preserve">Document generated on June 15, 2025 | Invoice INV-2024-0847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Peru Lima</dc:title>
  <dc:creator/>
  <dc:language>en</dc:language>
  <cp:keywords/>
  <dcterms:created xsi:type="dcterms:W3CDTF">2026-10-10T02:35:13Z</dcterms:created>
  <dcterms:modified xsi:type="dcterms:W3CDTF">2026-10-10T02:35:13Z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