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Qatar</w:t>
      </w:r>
      <w:r>
        <w:t xml:space="preserve"> </w:t>
      </w:r>
      <w:r>
        <w:t xml:space="preserve">Doha</w:t>
      </w:r>
    </w:p>
    <w:bookmarkStart w:id="20" w:name="al-rayyan-business-consulting-llc"/>
    <w:p>
      <w:pPr>
        <w:pStyle w:val="Heading1"/>
      </w:pPr>
      <w:r>
        <w:t xml:space="preserve">Al Rayyan Business Consulting LLC</w:t>
      </w:r>
    </w:p>
    <w:p>
      <w:pPr>
        <w:pStyle w:val="FirstParagraph"/>
      </w:pPr>
      <w:r>
        <w:rPr>
          <w:bCs/>
          <w:b/>
        </w:rPr>
        <w:t xml:space="preserve">Business Consultant</w:t>
      </w:r>
      <w:r>
        <w:t xml:space="preserve"> </w:t>
      </w:r>
      <w:r>
        <w:t xml:space="preserve">| Strategic Advisory &amp; Management Solutions</w:t>
      </w:r>
    </w:p>
    <w:p>
      <w:pPr>
        <w:pStyle w:val="BodyText"/>
      </w:pPr>
      <w:r>
        <w:t xml:space="preserve">Office 1204, Level 12, Doha Financial Centre</w:t>
      </w:r>
    </w:p>
    <w:p>
      <w:pPr>
        <w:pStyle w:val="BodyText"/>
      </w:pPr>
      <w:r>
        <w:t xml:space="preserve">Sheikh Jassim Road, Doha, Qatar</w:t>
      </w:r>
    </w:p>
    <w:p>
      <w:pPr>
        <w:pStyle w:val="BodyText"/>
      </w:pPr>
      <w:r>
        <w:t xml:space="preserve">Tel: +974 4455 6677 | Email: billing@alrayyanconsulting.qa</w:t>
      </w:r>
    </w:p>
    <w:p>
      <w:pPr>
        <w:pStyle w:val="BodyText"/>
      </w:pPr>
      <w:r>
        <w:t xml:space="preserve">CR No: 123456 | VAT No: QV-789-456-123</w:t>
      </w:r>
    </w:p>
    <w:bookmarkEnd w:id="20"/>
    <w:bookmarkStart w:id="21" w:name="invoice"/>
    <w:p>
      <w:pPr>
        <w:pStyle w:val="Heading2"/>
      </w:pPr>
      <w:r>
        <w:t xml:space="preserve">INVOICE</w:t>
      </w:r>
    </w:p>
    <w:p>
      <w:pPr>
        <w:pStyle w:val="FirstParagraph"/>
      </w:pPr>
      <w:r>
        <w:t xml:space="preserve">Business Consultant</w:t>
      </w:r>
    </w:p>
    <w:p>
      <w:pPr>
        <w:pStyle w:val="BodyText"/>
      </w:pPr>
      <w:r>
        <w:rPr>
          <w:bCs/>
          <w:b/>
        </w:rPr>
        <w:t xml:space="preserve">Invoice No:</w:t>
      </w:r>
      <w:r>
        <w:t xml:space="preserve"> </w:t>
      </w:r>
      <w:r>
        <w:t xml:space="preserve">ARC-2025-00487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Al Jazeera Logistics &amp; Trading WLL</w:t>
      </w:r>
    </w:p>
    <w:p>
      <w:pPr>
        <w:pStyle w:val="BodyText"/>
      </w:pPr>
      <w:r>
        <w:t xml:space="preserve">Attn: Mr. Khalid Al-Mansoori, Chief Executive Officer</w:t>
      </w:r>
    </w:p>
    <w:p>
      <w:pPr>
        <w:pStyle w:val="BodyText"/>
      </w:pPr>
      <w:r>
        <w:t xml:space="preserve">Building 45, Zone 37, Industrial Area</w:t>
      </w:r>
    </w:p>
    <w:p>
      <w:pPr>
        <w:pStyle w:val="BodyText"/>
      </w:pPr>
      <w:r>
        <w:t xml:space="preserve">Doha, Qatar</w:t>
      </w:r>
    </w:p>
    <w:p>
      <w:pPr>
        <w:pStyle w:val="BodyText"/>
      </w:pPr>
      <w:r>
        <w:t xml:space="preserve">Tel: +974 4412 3344</w:t>
      </w:r>
    </w:p>
    <w:p>
      <w:pPr>
        <w:pStyle w:val="BodyText"/>
      </w:pPr>
      <w:r>
        <w:t xml:space="preserve">Email: finance@aljazeeralogistics.qa</w:t>
      </w:r>
    </w:p>
    <w:bookmarkEnd w:id="22"/>
    <w:bookmarkStart w:id="23" w:name="prepared-by"/>
    <w:p>
      <w:pPr>
        <w:pStyle w:val="Heading3"/>
      </w:pPr>
      <w:r>
        <w:t xml:space="preserve">Prepared By</w:t>
      </w:r>
    </w:p>
    <w:p>
      <w:pPr>
        <w:pStyle w:val="FirstParagraph"/>
      </w:pPr>
      <w:r>
        <w:rPr>
          <w:bCs/>
          <w:b/>
        </w:rPr>
        <w:t xml:space="preserve">Ms. Sarah Al-Thani</w:t>
      </w:r>
    </w:p>
    <w:p>
      <w:pPr>
        <w:pStyle w:val="BodyText"/>
      </w:pPr>
      <w:r>
        <w:t xml:space="preserve">Senior Business Consultant</w:t>
      </w:r>
    </w:p>
    <w:p>
      <w:pPr>
        <w:pStyle w:val="BodyText"/>
      </w:pPr>
      <w:r>
        <w:t xml:space="preserve">Al Rayyan Business Consulting LLC</w:t>
      </w:r>
    </w:p>
    <w:p>
      <w:pPr>
        <w:pStyle w:val="BodyText"/>
      </w:pPr>
      <w:r>
        <w:t xml:space="preserve">Doha, Qatar</w:t>
      </w:r>
    </w:p>
    <w:p>
      <w:pPr>
        <w:pStyle w:val="BodyText"/>
      </w:pPr>
      <w:r>
        <w:t xml:space="preserve">Email: s.althani@alrayyanconsulting.qa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(QAR)</w:t>
            </w:r>
          </w:p>
        </w:tc>
        <w:tc>
          <w:tcPr/>
          <w:p>
            <w:pPr>
              <w:pStyle w:val="Compact"/>
              <w:jc w:val="left"/>
            </w:pPr>
            <w:r>
              <w:t xml:space="preserve">Hours / Units</w:t>
            </w:r>
          </w:p>
        </w:tc>
        <w:tc>
          <w:tcPr/>
          <w:p>
            <w:pPr>
              <w:pStyle w:val="Compact"/>
              <w:jc w:val="left"/>
            </w:pPr>
            <w:r>
              <w:t xml:space="preserve">Amount (QAR)</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Strategic Business Planning &amp; Market Entry Analysis for expansion into GCC markets. Includes comprehensive SWOT analysis, competitive benchmarking, and a 3-year growth roadmap tailored to the Qatar Doha business environment.</w:t>
            </w:r>
          </w:p>
        </w:tc>
        <w:tc>
          <w:tcPr/>
          <w:p>
            <w:pPr>
              <w:pStyle w:val="Compact"/>
              <w:jc w:val="left"/>
            </w:pPr>
            <w:r>
              <w:t xml:space="preserve">1,200.00</w:t>
            </w:r>
          </w:p>
        </w:tc>
        <w:tc>
          <w:tcPr/>
          <w:p>
            <w:pPr>
              <w:pStyle w:val="Compact"/>
              <w:jc w:val="left"/>
            </w:pPr>
            <w:r>
              <w:t xml:space="preserve">40 hrs</w:t>
            </w:r>
          </w:p>
        </w:tc>
        <w:tc>
          <w:tcPr/>
          <w:p>
            <w:pPr>
              <w:pStyle w:val="Compact"/>
              <w:jc w:val="left"/>
            </w:pPr>
            <w:r>
              <w:t xml:space="preserve">48,000.00</w:t>
            </w:r>
          </w:p>
        </w:tc>
        <w:tc>
          <w:tcPr/>
          <w:p>
            <w:pPr>
              <w:pStyle w:val="Compact"/>
              <w:jc w:val="left"/>
            </w:pPr>
            <w:r>
              <w:t xml:space="preserve">ARC-SVC-001</w:t>
            </w:r>
          </w:p>
        </w:tc>
      </w:tr>
      <w:tr>
        <w:tc>
          <w:tcPr/>
          <w:p>
            <w:pPr>
              <w:pStyle w:val="Compact"/>
              <w:jc w:val="left"/>
            </w:pPr>
            <w:r>
              <w:t xml:space="preserve">2</w:t>
            </w:r>
          </w:p>
        </w:tc>
        <w:tc>
          <w:tcPr/>
          <w:p>
            <w:pPr>
              <w:pStyle w:val="Compact"/>
              <w:jc w:val="left"/>
            </w:pPr>
            <w:r>
              <w:t xml:space="preserve">Operational Efficiency Audit &amp; Process Re-engineering. On-site assessment of warehouse operations, supply chain workflows, and logistics coordination across the Doha metropolitan area. Delivered actionable recommendations to reduce overhead costs by an estimated 18%.</w:t>
            </w:r>
          </w:p>
        </w:tc>
        <w:tc>
          <w:tcPr/>
          <w:p>
            <w:pPr>
              <w:pStyle w:val="Compact"/>
              <w:jc w:val="left"/>
            </w:pPr>
            <w:r>
              <w:t xml:space="preserve">1,500.00</w:t>
            </w:r>
          </w:p>
        </w:tc>
        <w:tc>
          <w:tcPr/>
          <w:p>
            <w:pPr>
              <w:pStyle w:val="Compact"/>
              <w:jc w:val="left"/>
            </w:pPr>
            <w:r>
              <w:t xml:space="preserve">32 hrs</w:t>
            </w:r>
          </w:p>
        </w:tc>
        <w:tc>
          <w:tcPr/>
          <w:p>
            <w:pPr>
              <w:pStyle w:val="Compact"/>
              <w:jc w:val="left"/>
            </w:pPr>
            <w:r>
              <w:t xml:space="preserve">48,000.00</w:t>
            </w:r>
          </w:p>
        </w:tc>
        <w:tc>
          <w:tcPr/>
          <w:p>
            <w:pPr>
              <w:pStyle w:val="Compact"/>
              <w:jc w:val="left"/>
            </w:pPr>
            <w:r>
              <w:t xml:space="preserve">ARC-SVC-002</w:t>
            </w:r>
          </w:p>
        </w:tc>
      </w:tr>
      <w:tr>
        <w:tc>
          <w:tcPr/>
          <w:p>
            <w:pPr>
              <w:pStyle w:val="Compact"/>
              <w:jc w:val="left"/>
            </w:pPr>
            <w:r>
              <w:t xml:space="preserve">3</w:t>
            </w:r>
          </w:p>
        </w:tc>
        <w:tc>
          <w:tcPr/>
          <w:p>
            <w:pPr>
              <w:pStyle w:val="Compact"/>
              <w:jc w:val="left"/>
            </w:pPr>
            <w:r>
              <w:t xml:space="preserve">Human Capital Development &amp; Leadership Training Program. Design and delivery of a four-week executive leadership workshop for 25 senior managers, conducted at the client's Doha headquarters. Includes post-training assessment and 90-day follow-up coaching sessions.</w:t>
            </w:r>
          </w:p>
        </w:tc>
        <w:tc>
          <w:tcPr/>
          <w:p>
            <w:pPr>
              <w:pStyle w:val="Compact"/>
              <w:jc w:val="left"/>
            </w:pPr>
            <w:r>
              <w:t xml:space="preserve">2,000.00</w:t>
            </w:r>
          </w:p>
        </w:tc>
        <w:tc>
          <w:tcPr/>
          <w:p>
            <w:pPr>
              <w:pStyle w:val="Compact"/>
              <w:jc w:val="left"/>
            </w:pPr>
            <w:r>
              <w:t xml:space="preserve">20 days</w:t>
            </w:r>
          </w:p>
        </w:tc>
        <w:tc>
          <w:tcPr/>
          <w:p>
            <w:pPr>
              <w:pStyle w:val="Compact"/>
              <w:jc w:val="left"/>
            </w:pPr>
            <w:r>
              <w:t xml:space="preserve">40,000.00</w:t>
            </w:r>
          </w:p>
        </w:tc>
        <w:tc>
          <w:tcPr/>
          <w:p>
            <w:pPr>
              <w:pStyle w:val="Compact"/>
              <w:jc w:val="left"/>
            </w:pPr>
            <w:r>
              <w:t xml:space="preserve">ARC-SVC-003</w:t>
            </w:r>
          </w:p>
        </w:tc>
      </w:tr>
      <w:tr>
        <w:tc>
          <w:tcPr/>
          <w:p>
            <w:pPr>
              <w:pStyle w:val="Compact"/>
              <w:jc w:val="left"/>
            </w:pPr>
            <w:r>
              <w:t xml:space="preserve">4</w:t>
            </w:r>
          </w:p>
        </w:tc>
        <w:tc>
          <w:tcPr/>
          <w:p>
            <w:pPr>
              <w:pStyle w:val="Compact"/>
              <w:jc w:val="left"/>
            </w:pPr>
            <w:r>
              <w:t xml:space="preserve">Digital Transformation Advisory. Assessment of current IT infrastructure, recommendation of cloud migration strategy, and vendor selection support for ERP implementation. Includes two on-site workshops in Qatar Doha and a detailed 120-page implementation blueprint.</w:t>
            </w:r>
          </w:p>
        </w:tc>
        <w:tc>
          <w:tcPr/>
          <w:p>
            <w:pPr>
              <w:pStyle w:val="Compact"/>
              <w:jc w:val="left"/>
            </w:pPr>
            <w:r>
              <w:t xml:space="preserve">1,800.00</w:t>
            </w:r>
          </w:p>
        </w:tc>
        <w:tc>
          <w:tcPr/>
          <w:p>
            <w:pPr>
              <w:pStyle w:val="Compact"/>
              <w:jc w:val="left"/>
            </w:pPr>
            <w:r>
              <w:t xml:space="preserve">25 hrs</w:t>
            </w:r>
          </w:p>
        </w:tc>
        <w:tc>
          <w:tcPr/>
          <w:p>
            <w:pPr>
              <w:pStyle w:val="Compact"/>
              <w:jc w:val="left"/>
            </w:pPr>
            <w:r>
              <w:t xml:space="preserve">45,000.00</w:t>
            </w:r>
          </w:p>
        </w:tc>
        <w:tc>
          <w:tcPr/>
          <w:p>
            <w:pPr>
              <w:pStyle w:val="Compact"/>
              <w:jc w:val="left"/>
            </w:pPr>
            <w:r>
              <w:t xml:space="preserve">ARC-SVC-004</w:t>
            </w:r>
          </w:p>
        </w:tc>
      </w:tr>
      <w:tr>
        <w:tc>
          <w:tcPr/>
          <w:p>
            <w:pPr>
              <w:pStyle w:val="Compact"/>
              <w:jc w:val="left"/>
            </w:pPr>
            <w:r>
              <w:t xml:space="preserve">5</w:t>
            </w:r>
          </w:p>
        </w:tc>
        <w:tc>
          <w:tcPr/>
          <w:p>
            <w:pPr>
              <w:pStyle w:val="Compact"/>
              <w:jc w:val="left"/>
            </w:pPr>
            <w:r>
              <w:t xml:space="preserve">Regulatory Compliance &amp; Government Liaison Support. Guidance on Qatar Commercial Companies Law amendments, municipal licensing renewals, and coordination with the Ministry of Commerce and Industry in Doha. Includes preparation of all required documentation and attendance at two regulatory meetings.</w:t>
            </w:r>
          </w:p>
        </w:tc>
        <w:tc>
          <w:tcPr/>
          <w:p>
            <w:pPr>
              <w:pStyle w:val="Compact"/>
              <w:jc w:val="left"/>
            </w:pPr>
            <w:r>
              <w:t xml:space="preserve">1,000.00</w:t>
            </w:r>
          </w:p>
        </w:tc>
        <w:tc>
          <w:tcPr/>
          <w:p>
            <w:pPr>
              <w:pStyle w:val="Compact"/>
              <w:jc w:val="left"/>
            </w:pPr>
            <w:r>
              <w:t xml:space="preserve">16 hrs</w:t>
            </w:r>
          </w:p>
        </w:tc>
        <w:tc>
          <w:tcPr/>
          <w:p>
            <w:pPr>
              <w:pStyle w:val="Compact"/>
              <w:jc w:val="left"/>
            </w:pPr>
            <w:r>
              <w:t xml:space="preserve">16,000.00</w:t>
            </w:r>
          </w:p>
        </w:tc>
        <w:tc>
          <w:tcPr/>
          <w:p>
            <w:pPr>
              <w:pStyle w:val="Compact"/>
              <w:jc w:val="left"/>
            </w:pPr>
            <w:r>
              <w:t xml:space="preserve">ARC-SVC-005</w:t>
            </w:r>
          </w:p>
        </w:tc>
      </w:tr>
      <w:tr>
        <w:tc>
          <w:tcPr/>
          <w:p>
            <w:pPr>
              <w:pStyle w:val="Compact"/>
              <w:jc w:val="left"/>
            </w:pPr>
            <w:r>
              <w:t xml:space="preserve">6</w:t>
            </w:r>
          </w:p>
        </w:tc>
        <w:tc>
          <w:tcPr/>
          <w:p>
            <w:pPr>
              <w:pStyle w:val="Compact"/>
              <w:jc w:val="left"/>
            </w:pPr>
            <w:r>
              <w:t xml:space="preserve">Monthly Retainer – Ongoing Business Consultant Support. Continuous advisory access via phone, email, and bi-weekly in-person meetings at the Doha Financial Centre office. Includes quarterly performance review reports and ad-hoc strategic guidance throughout the engagement period.</w:t>
            </w:r>
          </w:p>
        </w:tc>
        <w:tc>
          <w:tcPr/>
          <w:p>
            <w:pPr>
              <w:pStyle w:val="Compact"/>
              <w:jc w:val="left"/>
            </w:pPr>
            <w:r>
              <w:t xml:space="preserve">15,000.00</w:t>
            </w:r>
          </w:p>
        </w:tc>
        <w:tc>
          <w:tcPr/>
          <w:p>
            <w:pPr>
              <w:pStyle w:val="Compact"/>
              <w:jc w:val="left"/>
            </w:pPr>
            <w:r>
              <w:t xml:space="preserve">1 month</w:t>
            </w:r>
          </w:p>
        </w:tc>
        <w:tc>
          <w:tcPr/>
          <w:p>
            <w:pPr>
              <w:pStyle w:val="Compact"/>
              <w:jc w:val="left"/>
            </w:pPr>
            <w:r>
              <w:t xml:space="preserve">15,000.00</w:t>
            </w:r>
          </w:p>
        </w:tc>
        <w:tc>
          <w:tcPr/>
          <w:p>
            <w:pPr>
              <w:pStyle w:val="Compact"/>
              <w:jc w:val="left"/>
            </w:pPr>
            <w:r>
              <w:t xml:space="preserve">ARC-RET-006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212,000.00 QAR</w:t>
            </w:r>
          </w:p>
        </w:tc>
      </w:tr>
      <w:tr>
        <w:tc>
          <w:tcPr/>
          <w:p>
            <w:pPr>
              <w:pStyle w:val="Compact"/>
              <w:jc w:val="left"/>
            </w:pPr>
            <w:r>
              <w:t xml:space="preserve">VAT (5% – Qatar Standard Rate)</w:t>
            </w:r>
          </w:p>
        </w:tc>
        <w:tc>
          <w:tcPr/>
          <w:p>
            <w:pPr>
              <w:pStyle w:val="Compact"/>
              <w:jc w:val="right"/>
            </w:pPr>
            <w:r>
              <w:t xml:space="preserve">10,600.00 QAR</w:t>
            </w:r>
          </w:p>
        </w:tc>
      </w:tr>
      <w:tr>
        <w:tc>
          <w:tcPr/>
          <w:p>
            <w:pPr>
              <w:pStyle w:val="Compact"/>
              <w:jc w:val="left"/>
            </w:pPr>
            <w:r>
              <w:t xml:space="preserve">Discount (Early Payment – 2%)</w:t>
            </w:r>
          </w:p>
        </w:tc>
        <w:tc>
          <w:tcPr/>
          <w:p>
            <w:pPr>
              <w:pStyle w:val="Compact"/>
              <w:jc w:val="right"/>
            </w:pPr>
            <w:r>
              <w:t xml:space="preserve">-4,240.00 QAR</w:t>
            </w:r>
          </w:p>
        </w:tc>
      </w:tr>
      <w:tr>
        <w:tc>
          <w:tcPr/>
          <w:p>
            <w:pPr>
              <w:pStyle w:val="Compact"/>
              <w:jc w:val="left"/>
            </w:pPr>
            <w:r>
              <w:t xml:space="preserve">Grand Total Due</w:t>
            </w:r>
          </w:p>
        </w:tc>
        <w:tc>
          <w:tcPr/>
          <w:p>
            <w:pPr>
              <w:pStyle w:val="Compact"/>
              <w:jc w:val="right"/>
            </w:pPr>
            <w:r>
              <w:t xml:space="preserve">218,360.00 QAR</w:t>
            </w:r>
          </w:p>
        </w:tc>
      </w:tr>
    </w:tbl>
    <w:bookmarkStart w:id="24" w:name="payment-instructions"/>
    <w:p>
      <w:pPr>
        <w:pStyle w:val="Heading3"/>
      </w:pPr>
      <w:r>
        <w:t xml:space="preserve">Payment Instructions</w:t>
      </w:r>
    </w:p>
    <w:p>
      <w:pPr>
        <w:pStyle w:val="FirstParagraph"/>
      </w:pPr>
      <w:r>
        <w:t xml:space="preserve">Please remit payment for this Invoice within 15 calendar days of the Invoice date to the following account:</w:t>
      </w:r>
    </w:p>
    <w:p>
      <w:pPr>
        <w:pStyle w:val="BodyText"/>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Al Rayyan Business Consulting LLC</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QNBQAQDO</w:t>
      </w:r>
    </w:p>
    <w:p>
      <w:pPr>
        <w:pStyle w:val="BodyText"/>
      </w:pPr>
      <w:r>
        <w:rPr>
          <w:bCs/>
          <w:b/>
        </w:rPr>
        <w:t xml:space="preserve">Reference:</w:t>
      </w:r>
      <w:r>
        <w:t xml:space="preserve"> </w:t>
      </w:r>
      <w:r>
        <w:t xml:space="preserve">ARC-2025-00487</w:t>
      </w:r>
    </w:p>
    <w:p>
      <w:pPr>
        <w:pStyle w:val="BodyText"/>
      </w:pPr>
      <w:r>
        <w:t xml:space="preserve">Payments may also be made via QPay, bank transfer, or certified cheque payable to "Al Rayyan Business Consulting LLC" delivered to our Doha office. Please quote the Invoice number on all correspondence and remittances to ensure proper reconciliation.</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constitutes a formal request for payment for professional Business Consultant services rendered by Al Rayyan Business Consulting LLC to the client as detailed above. All services were performed in accordance with the Master Service Agreement dated 01 March 2025.</w:t>
      </w:r>
    </w:p>
    <w:p>
      <w:pPr>
        <w:numPr>
          <w:ilvl w:val="0"/>
          <w:numId w:val="1001"/>
        </w:numPr>
        <w:pStyle w:val="Compact"/>
      </w:pPr>
      <w:r>
        <w:t xml:space="preserve">Payment is due within 15 days from the Invoice date. Late payments shall attract a penalty interest of 1.5% per month, calculated on the outstanding balance, in compliance with Qatar commercial law provisions.</w:t>
      </w:r>
    </w:p>
    <w:p>
      <w:pPr>
        <w:numPr>
          <w:ilvl w:val="0"/>
          <w:numId w:val="1001"/>
        </w:numPr>
        <w:pStyle w:val="Compact"/>
      </w:pPr>
      <w:r>
        <w:t xml:space="preserve">All deliverables, reports, and strategic documents produced by the Business Consultant during the engagement period remain the intellectual property of Al Rayyan Business Consulting LLC until full payment of this Invoice is received and confirmed in writing.</w:t>
      </w:r>
    </w:p>
    <w:p>
      <w:pPr>
        <w:numPr>
          <w:ilvl w:val="0"/>
          <w:numId w:val="1001"/>
        </w:numPr>
        <w:pStyle w:val="Compact"/>
      </w:pPr>
      <w:r>
        <w:t xml:space="preserve">The VAT amount stated on this Invoice is calculated at the standard 5% rate as prescribed by the Qatar Tax Authority. The client is responsible for any additional municipal or government levies applicable to the services rendered in Qatar Doha.</w:t>
      </w:r>
    </w:p>
    <w:p>
      <w:pPr>
        <w:numPr>
          <w:ilvl w:val="0"/>
          <w:numId w:val="1001"/>
        </w:numPr>
        <w:pStyle w:val="Compact"/>
      </w:pPr>
      <w:r>
        <w:t xml:space="preserve">Any disputes arising from this Invoice shall be resolved through amicable negotiation. Should negotiation fail, the matter shall be referred to the competent courts of Doha, Qatar, in accordance with the jurisdiction clause of the Master Service Agreement.</w:t>
      </w:r>
    </w:p>
    <w:p>
      <w:pPr>
        <w:numPr>
          <w:ilvl w:val="0"/>
          <w:numId w:val="1001"/>
        </w:numPr>
        <w:pStyle w:val="Compact"/>
      </w:pPr>
      <w:r>
        <w:t xml:space="preserve">This Invoice is valid for 90 days from the date of issue. After this period, the Business Consultant reserves the right to reissue the Invoice with updated rates if applicable market conditions have changed.</w:t>
      </w:r>
    </w:p>
    <w:p>
      <w:pPr>
        <w:numPr>
          <w:ilvl w:val="0"/>
          <w:numId w:val="1001"/>
        </w:numPr>
        <w:pStyle w:val="Compact"/>
      </w:pPr>
      <w:r>
        <w:t xml:space="preserve">All on-site services conducted in Qatar Doha, including travel within the Doha metropolitan area, are included in the rates specified. Any travel outside Doha or to other emirates/countries requires prior written approval and will be billed separately at cost.</w:t>
      </w:r>
    </w:p>
    <w:p>
      <w:pPr>
        <w:numPr>
          <w:ilvl w:val="0"/>
          <w:numId w:val="1001"/>
        </w:numPr>
        <w:pStyle w:val="Compact"/>
      </w:pPr>
      <w:r>
        <w:t xml:space="preserve">Confidentiality obligations as outlined in the Non-Disclosure Agreement (NDA) executed on 01 March 2025 remain in full force and effect. No information contained in this Invoice or in the associated service deliverables may be disclosed to third parties without written consent.</w:t>
      </w:r>
    </w:p>
    <w:bookmarkEnd w:id="25"/>
    <w:p>
      <w:pPr>
        <w:pStyle w:val="FirstParagraph"/>
      </w:pPr>
      <w:r>
        <w:rPr>
          <w:bCs/>
          <w:b/>
        </w:rPr>
        <w:t xml:space="preserve">Al Rayyan Business Consulting LLC</w:t>
      </w:r>
      <w:r>
        <w:t xml:space="preserve"> </w:t>
      </w:r>
      <w:r>
        <w:t xml:space="preserve">– Your Trusted Business Consultant in Qatar Doha</w:t>
      </w:r>
    </w:p>
    <w:p>
      <w:pPr>
        <w:pStyle w:val="BodyText"/>
      </w:pPr>
      <w:r>
        <w:t xml:space="preserve">Doha Financial Centre, Sheikh Jassim Road, Doha, Qatar | CR: 123456 | VAT: QV-789-456-123</w:t>
      </w:r>
    </w:p>
    <w:p>
      <w:pPr>
        <w:pStyle w:val="BodyText"/>
      </w:pPr>
      <w:r>
        <w:t xml:space="preserve">This Invoice was generated electronically and is valid without a physical signature. For queries regarding this Invoice, please contact our billing department at billing@alrayyanconsulting.qa or +974 4455 6677.</w:t>
      </w:r>
    </w:p>
    <w:p>
      <w:pPr>
        <w:pStyle w:val="BodyText"/>
      </w:pPr>
      <w:r>
        <w:t xml:space="preserve">© 2025 Al Rayyan Business Consulting LLC. All rights reserved. This document is the property of the issuing Business Consultant and may not be reproduced without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Qatar Doha</dc:title>
  <dc:creator/>
  <dc:language>en</dc:language>
  <cp:keywords/>
  <dcterms:created xsi:type="dcterms:W3CDTF">2026-10-10T04:23:52Z</dcterms:created>
  <dcterms:modified xsi:type="dcterms:W3CDTF">2026-10-10T04:23:52Z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