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ord-consulting-group-llc"/>
    <w:p>
      <w:pPr>
        <w:pStyle w:val="Heading1"/>
      </w:pPr>
      <w:r>
        <w:t xml:space="preserve">Nord Consulting Group LLC</w:t>
      </w:r>
    </w:p>
    <w:p>
      <w:pPr>
        <w:pStyle w:val="FirstParagraph"/>
      </w:pPr>
      <w:r>
        <w:t xml:space="preserve">12 Nevsky Prospekt, Building 4, Floor 7</w:t>
      </w:r>
    </w:p>
    <w:p>
      <w:pPr>
        <w:pStyle w:val="BodyText"/>
      </w:pPr>
      <w:r>
        <w:t xml:space="preserve">Saint Petersburg, Russia 191025</w:t>
      </w:r>
    </w:p>
    <w:p>
      <w:pPr>
        <w:pStyle w:val="BodyText"/>
      </w:pPr>
      <w:r>
        <w:t xml:space="preserve">Tel: +7 (812) 555-0142</w:t>
      </w:r>
    </w:p>
    <w:p>
      <w:pPr>
        <w:pStyle w:val="BodyText"/>
      </w:pPr>
      <w:r>
        <w:t xml:space="preserve">Email: billing@nordconsulting.ru</w:t>
      </w:r>
    </w:p>
    <w:p>
      <w:pPr>
        <w:pStyle w:val="BodyText"/>
      </w:pPr>
      <w:r>
        <w:t xml:space="preserve">INN: 7810456789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NC-2025-04871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Baltic Trade Enterprises JSC</w:t>
      </w:r>
    </w:p>
    <w:p>
      <w:pPr>
        <w:pStyle w:val="BodyText"/>
      </w:pPr>
      <w:r>
        <w:rPr>
          <w:bCs/>
          <w:b/>
        </w:rPr>
        <w:t xml:space="preserve">Attn:</w:t>
      </w:r>
      <w:r>
        <w:t xml:space="preserve"> </w:t>
      </w:r>
      <w:r>
        <w:t xml:space="preserve">Mr. Alexander Petrov, Chief Executive Officer</w:t>
      </w:r>
    </w:p>
    <w:p>
      <w:pPr>
        <w:pStyle w:val="BodyText"/>
      </w:pPr>
      <w:r>
        <w:rPr>
          <w:bCs/>
          <w:b/>
        </w:rPr>
        <w:t xml:space="preserve">Address:</w:t>
      </w:r>
      <w:r>
        <w:t xml:space="preserve"> </w:t>
      </w:r>
      <w:r>
        <w:t xml:space="preserve">45 Liteyny Avenue, Saint Petersburg, Russia 190000</w:t>
      </w:r>
    </w:p>
    <w:p>
      <w:pPr>
        <w:pStyle w:val="BodyText"/>
      </w:pPr>
      <w:r>
        <w:rPr>
          <w:bCs/>
          <w:b/>
        </w:rPr>
        <w:t xml:space="preserve">Tax ID (INN):</w:t>
      </w:r>
      <w:r>
        <w:t xml:space="preserve"> </w:t>
      </w:r>
      <w:r>
        <w:t xml:space="preserve">7805123456</w:t>
      </w:r>
    </w:p>
    <w:p>
      <w:pPr>
        <w:pStyle w:val="BodyText"/>
      </w:pPr>
      <w:r>
        <w:rPr>
          <w:bCs/>
          <w:b/>
        </w:rPr>
        <w:t xml:space="preserve">Bank:</w:t>
      </w:r>
      <w:r>
        <w:t xml:space="preserve"> </w:t>
      </w:r>
      <w:r>
        <w:t xml:space="preserve">Sberbank, Branch Saint Petersburg</w:t>
      </w:r>
    </w:p>
    <w:p>
      <w:pPr>
        <w:pStyle w:val="BodyText"/>
      </w:pPr>
      <w:r>
        <w:rPr>
          <w:bCs/>
          <w:b/>
        </w:rPr>
        <w:t xml:space="preserve">Account No.:</w:t>
      </w:r>
      <w:r>
        <w:t xml:space="preserve"> </w:t>
      </w:r>
      <w:r>
        <w:t xml:space="preserve">40702810 9000 0012 3456</w:t>
      </w:r>
    </w:p>
    <w:bookmarkEnd w:id="22"/>
    <w:bookmarkStart w:id="23" w:name="service-provider"/>
    <w:p>
      <w:pPr>
        <w:pStyle w:val="Heading3"/>
      </w:pPr>
      <w:r>
        <w:t xml:space="preserve">Service Provider</w:t>
      </w:r>
    </w:p>
    <w:p>
      <w:pPr>
        <w:pStyle w:val="FirstParagraph"/>
      </w:pPr>
      <w:r>
        <w:rPr>
          <w:bCs/>
          <w:b/>
        </w:rPr>
        <w:t xml:space="preserve">Business Consultant:</w:t>
      </w:r>
      <w:r>
        <w:t xml:space="preserve"> </w:t>
      </w:r>
      <w:r>
        <w:t xml:space="preserve">Dr. Elena Volkova</w:t>
      </w:r>
    </w:p>
    <w:p>
      <w:pPr>
        <w:pStyle w:val="BodyText"/>
      </w:pPr>
      <w:r>
        <w:rPr>
          <w:bCs/>
          <w:b/>
        </w:rPr>
        <w:t xml:space="preserve">Role:</w:t>
      </w:r>
      <w:r>
        <w:t xml:space="preserve"> </w:t>
      </w:r>
      <w:r>
        <w:t xml:space="preserve">Senior Business Consultant, Strategy &amp; Operations</w:t>
      </w:r>
    </w:p>
    <w:p>
      <w:pPr>
        <w:pStyle w:val="BodyText"/>
      </w:pPr>
      <w:r>
        <w:rPr>
          <w:bCs/>
          <w:b/>
        </w:rPr>
        <w:t xml:space="preserve">Firm:</w:t>
      </w:r>
      <w:r>
        <w:t xml:space="preserve"> </w:t>
      </w:r>
      <w:r>
        <w:t xml:space="preserve">Nord Consulting Group LLC</w:t>
      </w:r>
    </w:p>
    <w:p>
      <w:pPr>
        <w:pStyle w:val="BodyText"/>
      </w:pPr>
      <w:r>
        <w:rPr>
          <w:bCs/>
          <w:b/>
        </w:rPr>
        <w:t xml:space="preserve">Address:</w:t>
      </w:r>
      <w:r>
        <w:t xml:space="preserve"> </w:t>
      </w:r>
      <w:r>
        <w:t xml:space="preserve">12 Nevsky Prospekt, Saint Petersburg, Russia</w:t>
      </w:r>
    </w:p>
    <w:p>
      <w:pPr>
        <w:pStyle w:val="BodyText"/>
      </w:pPr>
      <w:r>
        <w:rPr>
          <w:bCs/>
          <w:b/>
        </w:rPr>
        <w:t xml:space="preserve">License No.:</w:t>
      </w:r>
      <w:r>
        <w:t xml:space="preserve"> </w:t>
      </w:r>
      <w:r>
        <w:t xml:space="preserve">RU-BC-2019-004521</w:t>
      </w:r>
    </w:p>
    <w:p>
      <w:pPr>
        <w:pStyle w:val="BodyText"/>
      </w:pPr>
      <w:r>
        <w:rPr>
          <w:bCs/>
          <w:b/>
        </w:rPr>
        <w:t xml:space="preserve">Professional Cert:</w:t>
      </w:r>
      <w:r>
        <w:t xml:space="preserve"> </w:t>
      </w:r>
      <w:r>
        <w:t xml:space="preserve">PMP, CMC, CMC-RU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Consulting Services</w:t>
            </w:r>
          </w:p>
        </w:tc>
        <w:tc>
          <w:tcPr/>
          <w:p>
            <w:pPr>
              <w:pStyle w:val="Compact"/>
              <w:jc w:val="left"/>
            </w:pPr>
            <w:r>
              <w:t xml:space="preserve">Rate (RUB)</w:t>
            </w:r>
          </w:p>
        </w:tc>
        <w:tc>
          <w:tcPr/>
          <w:p>
            <w:pPr>
              <w:pStyle w:val="Compact"/>
              <w:jc w:val="left"/>
            </w:pPr>
            <w:r>
              <w:t xml:space="preserve">Hours</w:t>
            </w:r>
          </w:p>
        </w:tc>
        <w:tc>
          <w:tcPr/>
          <w:p>
            <w:pPr>
              <w:pStyle w:val="Compact"/>
              <w:jc w:val="left"/>
            </w:pPr>
            <w:r>
              <w:t xml:space="preserve">Amount (RUB)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Strategic Business Planning &amp; Market Analysis for expansion into Northern Russia regions. Comprehensive competitive landscape assessment and SWOT analysis prepared by the Business Consultant.</w:t>
            </w:r>
          </w:p>
        </w:tc>
        <w:tc>
          <w:tcPr/>
          <w:p>
            <w:pPr>
              <w:pStyle w:val="Compact"/>
              <w:jc w:val="left"/>
            </w:pPr>
            <w:r>
              <w:t xml:space="preserve">4,500</w:t>
            </w:r>
          </w:p>
        </w:tc>
        <w:tc>
          <w:tcPr/>
          <w:p>
            <w:pPr>
              <w:pStyle w:val="Compact"/>
              <w:jc w:val="left"/>
            </w:pPr>
            <w:r>
              <w:t xml:space="preserve">48</w:t>
            </w:r>
          </w:p>
        </w:tc>
        <w:tc>
          <w:tcPr/>
          <w:p>
            <w:pPr>
              <w:pStyle w:val="Compact"/>
              <w:jc w:val="left"/>
            </w:pPr>
            <w:r>
              <w:t xml:space="preserve">216,000.00</w:t>
            </w:r>
          </w:p>
        </w:tc>
        <w:tc>
          <w:tcPr/>
          <w:p>
            <w:pPr>
              <w:pStyle w:val="Compact"/>
              <w:jc w:val="left"/>
            </w:pPr>
            <w:r>
              <w:t xml:space="preserve">01 Apr – 30 Apr 2025</w:t>
            </w:r>
          </w:p>
        </w:tc>
      </w:tr>
      <w:tr>
        <w:tc>
          <w:tcPr/>
          <w:p>
            <w:pPr>
              <w:pStyle w:val="Compact"/>
              <w:jc w:val="left"/>
            </w:pPr>
            <w:r>
              <w:t xml:space="preserve">2</w:t>
            </w:r>
          </w:p>
        </w:tc>
        <w:tc>
          <w:tcPr/>
          <w:p>
            <w:pPr>
              <w:pStyle w:val="Compact"/>
              <w:jc w:val="left"/>
            </w:pPr>
            <w:r>
              <w:t xml:space="preserve">Operational Process Optimization &amp; Supply Chain Restructuring. The Business Consultant conducted on-site assessments at three facilities in Saint Petersburg and developed a 90-day implementation roadmap.</w:t>
            </w:r>
          </w:p>
        </w:tc>
        <w:tc>
          <w:tcPr/>
          <w:p>
            <w:pPr>
              <w:pStyle w:val="Compact"/>
              <w:jc w:val="left"/>
            </w:pPr>
            <w:r>
              <w:t xml:space="preserve">4,500</w:t>
            </w:r>
          </w:p>
        </w:tc>
        <w:tc>
          <w:tcPr/>
          <w:p>
            <w:pPr>
              <w:pStyle w:val="Compact"/>
              <w:jc w:val="left"/>
            </w:pPr>
            <w:r>
              <w:t xml:space="preserve">64</w:t>
            </w:r>
          </w:p>
        </w:tc>
        <w:tc>
          <w:tcPr/>
          <w:p>
            <w:pPr>
              <w:pStyle w:val="Compact"/>
              <w:jc w:val="left"/>
            </w:pPr>
            <w:r>
              <w:t xml:space="preserve">288,000.00</w:t>
            </w:r>
          </w:p>
        </w:tc>
        <w:tc>
          <w:tcPr/>
          <w:p>
            <w:pPr>
              <w:pStyle w:val="Compact"/>
              <w:jc w:val="left"/>
            </w:pPr>
            <w:r>
              <w:t xml:space="preserve">01 May – 31 May 2025</w:t>
            </w:r>
          </w:p>
        </w:tc>
      </w:tr>
      <w:tr>
        <w:tc>
          <w:tcPr/>
          <w:p>
            <w:pPr>
              <w:pStyle w:val="Compact"/>
              <w:jc w:val="left"/>
            </w:pPr>
            <w:r>
              <w:t xml:space="preserve">3</w:t>
            </w:r>
          </w:p>
        </w:tc>
        <w:tc>
          <w:tcPr/>
          <w:p>
            <w:pPr>
              <w:pStyle w:val="Compact"/>
              <w:jc w:val="left"/>
            </w:pPr>
            <w:r>
              <w:t xml:space="preserve">Financial Modeling &amp; Investment Readiness Assessment. Preparation of detailed financial projections, cash flow models, and investor presentation materials in compliance with Russian Federation reporting standards.</w:t>
            </w:r>
          </w:p>
        </w:tc>
        <w:tc>
          <w:tcPr/>
          <w:p>
            <w:pPr>
              <w:pStyle w:val="Compact"/>
              <w:jc w:val="left"/>
            </w:pPr>
            <w:r>
              <w:t xml:space="preserve">5,000</w:t>
            </w:r>
          </w:p>
        </w:tc>
        <w:tc>
          <w:tcPr/>
          <w:p>
            <w:pPr>
              <w:pStyle w:val="Compact"/>
              <w:jc w:val="left"/>
            </w:pPr>
            <w:r>
              <w:t xml:space="preserve">36</w:t>
            </w:r>
          </w:p>
        </w:tc>
        <w:tc>
          <w:tcPr/>
          <w:p>
            <w:pPr>
              <w:pStyle w:val="Compact"/>
              <w:jc w:val="left"/>
            </w:pPr>
            <w:r>
              <w:t xml:space="preserve">180,000.00</w:t>
            </w:r>
          </w:p>
        </w:tc>
        <w:tc>
          <w:tcPr/>
          <w:p>
            <w:pPr>
              <w:pStyle w:val="Compact"/>
              <w:jc w:val="left"/>
            </w:pPr>
            <w:r>
              <w:t xml:space="preserve">01 Jun – 10 Jun 2025</w:t>
            </w:r>
          </w:p>
        </w:tc>
      </w:tr>
      <w:tr>
        <w:tc>
          <w:tcPr/>
          <w:p>
            <w:pPr>
              <w:pStyle w:val="Compact"/>
              <w:jc w:val="left"/>
            </w:pPr>
            <w:r>
              <w:t xml:space="preserve">4</w:t>
            </w:r>
          </w:p>
        </w:tc>
        <w:tc>
          <w:tcPr/>
          <w:p>
            <w:pPr>
              <w:pStyle w:val="Compact"/>
              <w:jc w:val="left"/>
            </w:pPr>
            <w:r>
              <w:t xml:space="preserve">Executive Leadership Training &amp; Change Management Workshop. Two full-day workshops delivered in Saint Petersburg for 25 senior managers, covering organizational transformation and digital adoption strategies.</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12 Jun 2025</w:t>
            </w:r>
          </w:p>
        </w:tc>
      </w:tr>
      <w:tr>
        <w:tc>
          <w:tcPr/>
          <w:p>
            <w:pPr>
              <w:pStyle w:val="Compact"/>
              <w:jc w:val="left"/>
            </w:pPr>
            <w:r>
              <w:t xml:space="preserve">5</w:t>
            </w:r>
          </w:p>
        </w:tc>
        <w:tc>
          <w:tcPr/>
          <w:p>
            <w:pPr>
              <w:pStyle w:val="Compact"/>
              <w:jc w:val="left"/>
            </w:pPr>
            <w:r>
              <w:t xml:space="preserve">Regulatory Compliance Advisory &amp; Documentation Review. Guidance on Federal Law compliance, tax optimization within the Russia Saint Petersburg jurisdiction, and preparation of internal governance policies.</w:t>
            </w:r>
          </w:p>
        </w:tc>
        <w:tc>
          <w:tcPr/>
          <w:p>
            <w:pPr>
              <w:pStyle w:val="Compact"/>
              <w:jc w:val="left"/>
            </w:pPr>
            <w:r>
              <w:t xml:space="preserve">4,000</w:t>
            </w:r>
          </w:p>
        </w:tc>
        <w:tc>
          <w:tcPr/>
          <w:p>
            <w:pPr>
              <w:pStyle w:val="Compact"/>
              <w:jc w:val="left"/>
            </w:pPr>
            <w:r>
              <w:t xml:space="preserve">20</w:t>
            </w:r>
          </w:p>
        </w:tc>
        <w:tc>
          <w:tcPr/>
          <w:p>
            <w:pPr>
              <w:pStyle w:val="Compact"/>
              <w:jc w:val="left"/>
            </w:pPr>
            <w:r>
              <w:t xml:space="preserve">80,000.00</w:t>
            </w:r>
          </w:p>
        </w:tc>
        <w:tc>
          <w:tcPr/>
          <w:p>
            <w:pPr>
              <w:pStyle w:val="Compact"/>
              <w:jc w:val="left"/>
            </w:pPr>
            <w:r>
              <w:t xml:space="preserve">11 Jun – 15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788,000.00 RUB</w:t>
            </w:r>
          </w:p>
        </w:tc>
      </w:tr>
      <w:tr>
        <w:tc>
          <w:tcPr/>
          <w:p>
            <w:pPr>
              <w:pStyle w:val="Compact"/>
              <w:jc w:val="left"/>
            </w:pPr>
            <w:r>
              <w:t xml:space="preserve">VAT (20%)</w:t>
            </w:r>
          </w:p>
        </w:tc>
        <w:tc>
          <w:tcPr/>
          <w:p>
            <w:pPr>
              <w:pStyle w:val="Compact"/>
              <w:jc w:val="left"/>
            </w:pPr>
            <w:r>
              <w:t xml:space="preserve">157,600.00 RUB</w:t>
            </w:r>
          </w:p>
        </w:tc>
      </w:tr>
      <w:tr>
        <w:tc>
          <w:tcPr/>
          <w:p>
            <w:pPr>
              <w:pStyle w:val="Compact"/>
              <w:jc w:val="left"/>
            </w:pPr>
            <w:r>
              <w:t xml:space="preserve">Travel &amp; Accommodation (Saint Petersburg)</w:t>
            </w:r>
          </w:p>
        </w:tc>
        <w:tc>
          <w:tcPr/>
          <w:p>
            <w:pPr>
              <w:pStyle w:val="Compact"/>
              <w:jc w:val="left"/>
            </w:pPr>
            <w:r>
              <w:t xml:space="preserve">12,400.00 RUB</w:t>
            </w:r>
          </w:p>
        </w:tc>
      </w:tr>
      <w:tr>
        <w:tc>
          <w:tcPr/>
          <w:p>
            <w:pPr>
              <w:pStyle w:val="Compact"/>
              <w:jc w:val="left"/>
            </w:pPr>
            <w:r>
              <w:t xml:space="preserve">Discount (Loyalty – 3rd Quarter)</w:t>
            </w:r>
          </w:p>
        </w:tc>
        <w:tc>
          <w:tcPr/>
          <w:p>
            <w:pPr>
              <w:pStyle w:val="Compact"/>
              <w:jc w:val="left"/>
            </w:pPr>
            <w:r>
              <w:t xml:space="preserve">-15,760.00 RUB</w:t>
            </w:r>
          </w:p>
        </w:tc>
      </w:tr>
      <w:tr>
        <w:tc>
          <w:tcPr/>
          <w:p>
            <w:pPr>
              <w:pStyle w:val="Compact"/>
              <w:jc w:val="left"/>
            </w:pPr>
            <w:r>
              <w:t xml:space="preserve">Grand Total Due</w:t>
            </w:r>
          </w:p>
        </w:tc>
        <w:tc>
          <w:tcPr/>
          <w:p>
            <w:pPr>
              <w:pStyle w:val="Compact"/>
              <w:jc w:val="left"/>
            </w:pPr>
            <w:r>
              <w:t xml:space="preserve">942,240.00 RUB</w:t>
            </w:r>
          </w:p>
        </w:tc>
      </w:tr>
    </w:tbl>
    <w:bookmarkStart w:id="24" w:name="invoice-notes-payment-instructions"/>
    <w:p>
      <w:pPr>
        <w:pStyle w:val="Heading3"/>
      </w:pPr>
      <w:r>
        <w:t xml:space="preserve">Invoice Notes &amp; Payment Instructions</w:t>
      </w:r>
    </w:p>
    <w:p>
      <w:pPr>
        <w:pStyle w:val="FirstParagraph"/>
      </w:pPr>
      <w:r>
        <w:t xml:space="preserve">This Invoice is issued by Nord Consulting Group LLC in accordance with the Master Service Agreement (Contract No. MSA-2025-0093) signed on 28 March 2025 between the parties. All consulting services were rendered by the designated Business Consultant, Dr. Elena Volkova, within the Russia Saint Petersburg metropolitan area.</w:t>
      </w:r>
    </w:p>
    <w:p>
      <w:pPr>
        <w:pStyle w:val="BodyText"/>
      </w:pPr>
      <w:r>
        <w:rPr>
          <w:bCs/>
          <w:b/>
        </w:rPr>
        <w:t xml:space="preserve">Payment Method:</w:t>
      </w:r>
      <w:r>
        <w:t xml:space="preserve"> </w:t>
      </w:r>
      <w:r>
        <w:t xml:space="preserve">Bank transfer to the account specified above. Please reference Invoice No. NC-2025-04871 in your payment remittance. Payments are to be made in Russian Rubles (RUB) via the Sberbank branch in Saint Petersburg.</w:t>
      </w:r>
    </w:p>
    <w:p>
      <w:pPr>
        <w:pStyle w:val="BodyText"/>
      </w:pPr>
      <w:r>
        <w:rPr>
          <w:bCs/>
          <w:b/>
        </w:rPr>
        <w:t xml:space="preserve">Payment Deadline:</w:t>
      </w:r>
      <w:r>
        <w:t xml:space="preserve"> </w:t>
      </w:r>
      <w:r>
        <w:t xml:space="preserve">This Invoice is payable within fifteen (15) calendar days from the issue date. Late payments shall accrue interest at a rate of 0.1% per calendar day as stipulated in Article 12 of the Master Service Agreement.</w:t>
      </w:r>
    </w:p>
    <w:p>
      <w:pPr>
        <w:pStyle w:val="BodyText"/>
      </w:pPr>
      <w:r>
        <w:rPr>
          <w:bCs/>
          <w:b/>
        </w:rPr>
        <w:t xml:space="preserve">Tax Documentation:</w:t>
      </w:r>
      <w:r>
        <w:t xml:space="preserve"> </w:t>
      </w:r>
      <w:r>
        <w:t xml:space="preserve">A formal receipt (avansovyi schet) and VAT invoice (schet-faktura) will be provided upon confirmation of payment. All documents are issued in compliance with the Tax Code of the Russian Federation.</w:t>
      </w:r>
    </w:p>
    <w:bookmarkEnd w:id="24"/>
    <w:bookmarkStart w:id="25" w:name="terms-conditions-of-this-invoice"/>
    <w:p>
      <w:pPr>
        <w:pStyle w:val="Heading3"/>
      </w:pPr>
      <w:r>
        <w:t xml:space="preserve">Terms &amp; Conditions of This Invoice</w:t>
      </w:r>
    </w:p>
    <w:p>
      <w:pPr>
        <w:pStyle w:val="FirstParagraph"/>
      </w:pPr>
      <w:r>
        <w:t xml:space="preserve">1. This Invoice constitutes a formal request for payment for professional Business Consultant services rendered in the Russia Saint Petersburg region during the period of April 2025 through June 2025. The services described herein were performed in full and accepted by the Client as evidenced by the signed Service Completion Certificates attached to the Master Service Agreement.</w:t>
      </w:r>
    </w:p>
    <w:p>
      <w:pPr>
        <w:pStyle w:val="BodyText"/>
      </w:pPr>
      <w:r>
        <w:t xml:space="preserve">2. The Business Consultant, Dr. Elena Volkova, warrants that all deliverables, reports, strategic plans, and advisory materials provided under this engagement are original work, free from intellectual property infringement, and prepared in accordance with the professional standards established by the Russian Association of Management Consultants (RAMC).</w:t>
      </w:r>
    </w:p>
    <w:p>
      <w:pPr>
        <w:pStyle w:val="BodyText"/>
      </w:pPr>
      <w:r>
        <w:t xml:space="preserve">3. All financial figures stated in this Invoice are denominated in Russian Rubles (RUB). The applicable VAT rate of 20% is in accordance with Article 164 of the Tax Code of the Russian Federation. The Client is responsible for any additional taxes or levies imposed by the Saint Petersburg municipal authority.</w:t>
      </w:r>
    </w:p>
    <w:p>
      <w:pPr>
        <w:pStyle w:val="BodyText"/>
      </w:pPr>
      <w:r>
        <w:t xml:space="preserve">4. In the event of a dispute regarding the amounts stated in this Invoice, the parties agree to first attempt resolution through good-faith negotiation within ten (10) business days. Should resolution not be achieved, the matter shall be submitted to the Arbitration Court of Saint Petersburg and Leningrad Oblast for adjudication.</w:t>
      </w:r>
    </w:p>
    <w:p>
      <w:pPr>
        <w:pStyle w:val="BodyText"/>
      </w:pPr>
      <w:r>
        <w:t xml:space="preserve">5. This Invoice is valid for a period of ninety (90) days from the issue date. After this period, the Business Consultant reserves the right to reissue the Invoice with updated rates and applicable surcharges. The Client acknowledges receipt of this Invoice via electronic delivery to the registered email address on file.</w:t>
      </w:r>
    </w:p>
    <w:p>
      <w:pPr>
        <w:pStyle w:val="BodyText"/>
      </w:pPr>
      <w:r>
        <w:t xml:space="preserve">6. Confidentiality: All information contained in this Invoice, including financial details, service descriptions, and client data, is subject to the Non-Disclosure Agreement (NDA-2025-0041) executed concurrently with the Master Service Agreement. Unauthorized disclosure of this Invoice to third parties is strictly prohibited.</w:t>
      </w:r>
    </w:p>
    <w:bookmarkEnd w:id="25"/>
    <w:p>
      <w:pPr>
        <w:pStyle w:val="BodyText"/>
      </w:pPr>
      <w:r>
        <w:rPr>
          <w:bCs/>
          <w:b/>
        </w:rPr>
        <w:t xml:space="preserve">Nord Consulting Group LLC</w:t>
      </w:r>
      <w:r>
        <w:t xml:space="preserve"> </w:t>
      </w:r>
      <w:r>
        <w:t xml:space="preserve">| 12 Nevsky Prospekt, Saint Petersburg, Russia 191025 | INN: 7810456789</w:t>
      </w:r>
    </w:p>
    <w:p>
      <w:pPr>
        <w:pStyle w:val="BodyText"/>
      </w:pPr>
      <w:r>
        <w:t xml:space="preserve">This Invoice was generated electronically and is valid without a physical signature. For verification, contact billing@nordconsulting.ru or +7 (812) 555-0142.</w:t>
      </w:r>
    </w:p>
    <w:p>
      <w:pPr>
        <w:pStyle w:val="BodyText"/>
      </w:pPr>
      <w:r>
        <w:t xml:space="preserve">Page 1 of 1 | Document Reference: NC-2025-04871 | Generated: 15 June 2025, 14:32 MSK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Russia Saint Petersburg</dc:title>
  <dc:creator/>
  <dc:language>en</dc:language>
  <cp:keywords/>
  <dcterms:created xsi:type="dcterms:W3CDTF">2026-10-10T05:54:23Z</dcterms:created>
  <dcterms:modified xsi:type="dcterms:W3CDTF">2026-10-10T05:54:23Z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