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Professional Business Consultant Services — Saudi Arabia Jeddah</w:t>
      </w:r>
    </w:p>
    <w:p>
      <w:pPr>
        <w:pStyle w:val="BodyText"/>
      </w:pPr>
      <w:r>
        <w:t xml:space="preserve">Official Invoice Document</w:t>
      </w:r>
    </w:p>
    <w:bookmarkEnd w:id="20"/>
    <w:bookmarkStart w:id="21" w:name="al-nakheel-business-consulting-llc"/>
    <w:p>
      <w:pPr>
        <w:pStyle w:val="Heading3"/>
      </w:pPr>
      <w:r>
        <w:t xml:space="preserve">Al-Nakheel Business Consulting LLC</w:t>
      </w:r>
    </w:p>
    <w:p>
      <w:pPr>
        <w:pStyle w:val="FirstParagraph"/>
      </w:pPr>
      <w:r>
        <w:t xml:space="preserve">Office 1204, Kingdom Tower, King Fahd Road</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Phone: +966 12 555 0147</w:t>
      </w:r>
    </w:p>
    <w:p>
      <w:pPr>
        <w:pStyle w:val="BodyText"/>
      </w:pPr>
      <w:r>
        <w:t xml:space="preserve">Email: billing@alnakheel-consulting.sa</w:t>
      </w:r>
    </w:p>
    <w:bookmarkEnd w:id="21"/>
    <w:bookmarkStart w:id="22" w:name="invoice-details"/>
    <w:p>
      <w:pPr>
        <w:pStyle w:val="Heading4"/>
      </w:pPr>
      <w:r>
        <w:t xml:space="preserve">Invoice Details</w:t>
      </w:r>
    </w:p>
    <w:p>
      <w:pPr>
        <w:pStyle w:val="FirstParagraph"/>
      </w:pPr>
      <w:r>
        <w:t xml:space="preserve">Invoice Number:</w:t>
      </w:r>
      <w:r>
        <w:t xml:space="preserve"> </w:t>
      </w:r>
      <w:r>
        <w:t xml:space="preserve">INV-2025-JED-00487</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Saudi Riyal (SAR)</w:t>
      </w:r>
    </w:p>
    <w:bookmarkEnd w:id="22"/>
    <w:bookmarkStart w:id="23" w:name="billed-to-client"/>
    <w:p>
      <w:pPr>
        <w:pStyle w:val="Heading4"/>
      </w:pPr>
      <w:r>
        <w:t xml:space="preserve">Billed To (Client)</w:t>
      </w:r>
    </w:p>
    <w:p>
      <w:pPr>
        <w:pStyle w:val="FirstParagraph"/>
      </w:pPr>
      <w:r>
        <w:t xml:space="preserve">Company:</w:t>
      </w:r>
      <w:r>
        <w:t xml:space="preserve"> </w:t>
      </w:r>
      <w:r>
        <w:t xml:space="preserve">Red Sea Logistics &amp; Trading Co.</w:t>
      </w:r>
    </w:p>
    <w:p>
      <w:pPr>
        <w:pStyle w:val="BodyText"/>
      </w:pPr>
      <w:r>
        <w:t xml:space="preserve">Address:</w:t>
      </w:r>
      <w:r>
        <w:t xml:space="preserve"> </w:t>
      </w:r>
      <w:r>
        <w:t xml:space="preserve">Industrial City, Jeddah, 23533, Saudi Arabia</w:t>
      </w:r>
    </w:p>
    <w:p>
      <w:pPr>
        <w:pStyle w:val="BodyText"/>
      </w:pPr>
      <w:r>
        <w:t xml:space="preserve">Contact:</w:t>
      </w:r>
      <w:r>
        <w:t xml:space="preserve"> </w:t>
      </w:r>
      <w:r>
        <w:t xml:space="preserve">Mr. Khalid Al-Otaibi, CFO</w:t>
      </w:r>
    </w:p>
    <w:p>
      <w:pPr>
        <w:pStyle w:val="BodyText"/>
      </w:pPr>
      <w:r>
        <w:t xml:space="preserve">VAT No.:</w:t>
      </w:r>
      <w:r>
        <w:t xml:space="preserve"> </w:t>
      </w:r>
      <w:r>
        <w:t xml:space="preserve">310987654300003</w:t>
      </w:r>
    </w:p>
    <w:bookmarkEnd w:id="23"/>
    <w:bookmarkStart w:id="24" w:name="service-provider"/>
    <w:p>
      <w:pPr>
        <w:pStyle w:val="Heading4"/>
      </w:pPr>
      <w:r>
        <w:t xml:space="preserve">Service Provider</w:t>
      </w:r>
    </w:p>
    <w:p>
      <w:pPr>
        <w:pStyle w:val="FirstParagraph"/>
      </w:pPr>
      <w:r>
        <w:t xml:space="preserve">Role:</w:t>
      </w:r>
      <w:r>
        <w:t xml:space="preserve"> </w:t>
      </w:r>
      <w:r>
        <w:t xml:space="preserve">Senior Business Consultant</w:t>
      </w:r>
    </w:p>
    <w:p>
      <w:pPr>
        <w:pStyle w:val="BodyText"/>
      </w:pPr>
      <w:r>
        <w:t xml:space="preserve">Name:</w:t>
      </w:r>
      <w:r>
        <w:t xml:space="preserve"> </w:t>
      </w:r>
      <w:r>
        <w:t xml:space="preserve">Dr. Sarah Al-Mansouri</w:t>
      </w:r>
    </w:p>
    <w:p>
      <w:pPr>
        <w:pStyle w:val="BodyText"/>
      </w:pPr>
      <w:r>
        <w:t xml:space="preserve">License No.:</w:t>
      </w:r>
      <w:r>
        <w:t xml:space="preserve"> </w:t>
      </w:r>
      <w:r>
        <w:t xml:space="preserve">MOC-BC-2024-0091</w:t>
      </w:r>
    </w:p>
    <w:p>
      <w:pPr>
        <w:pStyle w:val="BodyText"/>
      </w:pPr>
      <w:r>
        <w:t xml:space="preserve">Location:</w:t>
      </w:r>
      <w:r>
        <w:t xml:space="preserve"> </w:t>
      </w:r>
      <w:r>
        <w:t xml:space="preserve">Jeddah, Saudi Arabia</w:t>
      </w:r>
    </w:p>
    <w:bookmarkEnd w:id="24"/>
    <w:bookmarkStart w:id="25" w:name="X2ed4bd363a86fcb766a62dae3a1642fbdb70e6e"/>
    <w:p>
      <w:pPr>
        <w:pStyle w:val="Heading3"/>
      </w:pPr>
      <w:r>
        <w:t xml:space="preserve">Description of Business Consultant Services Rendered</w:t>
      </w:r>
    </w:p>
    <w:p>
      <w:pPr>
        <w:pStyle w:val="FirstParagraph"/>
      </w:pPr>
      <w:r>
        <w:t xml:space="preserve">The following Invoice covers the comprehensive professional services delivered by the undersigned Business Consultant to the client in Jeddah, Saudi Arabia, during the period of 1 March 2025 through 31 May 2025. All engagements were conducted in accordance with the terms of the Master Service Agreement (MSA-2025-0031) and comply with the regulatory standards set forth by the Ministry of Commerce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Strategic Business Planning &amp; Market Entry Analysis for the Jeddah commercial district, including competitor benchmarking and SWOT assessment</w:t>
            </w:r>
          </w:p>
        </w:tc>
        <w:tc>
          <w:tcPr/>
          <w:p>
            <w:pPr>
              <w:pStyle w:val="Compact"/>
              <w:jc w:val="left"/>
            </w:pPr>
            <w:r>
              <w:t xml:space="preserve">40 hours</w:t>
            </w:r>
          </w:p>
        </w:tc>
        <w:tc>
          <w:tcPr/>
          <w:p>
            <w:pPr>
              <w:pStyle w:val="Compact"/>
              <w:jc w:val="left"/>
            </w:pPr>
            <w:r>
              <w:t xml:space="preserve">1,200</w:t>
            </w:r>
          </w:p>
        </w:tc>
        <w:tc>
          <w:tcPr/>
          <w:p>
            <w:pPr>
              <w:pStyle w:val="Compact"/>
              <w:jc w:val="left"/>
            </w:pPr>
            <w:r>
              <w:t xml:space="preserve">48,000.00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Operational Process Optimization &amp; Supply Chain Restructuring for the client’s logistics division in Jeddah, Saudi Arabia</w:t>
            </w:r>
          </w:p>
        </w:tc>
        <w:tc>
          <w:tcPr/>
          <w:p>
            <w:pPr>
              <w:pStyle w:val="Compact"/>
              <w:jc w:val="left"/>
            </w:pPr>
            <w:r>
              <w:t xml:space="preserve">32 hours</w:t>
            </w:r>
          </w:p>
        </w:tc>
        <w:tc>
          <w:tcPr/>
          <w:p>
            <w:pPr>
              <w:pStyle w:val="Compact"/>
              <w:jc w:val="left"/>
            </w:pPr>
            <w:r>
              <w:t xml:space="preserve">1,200</w:t>
            </w:r>
          </w:p>
        </w:tc>
        <w:tc>
          <w:tcPr/>
          <w:p>
            <w:pPr>
              <w:pStyle w:val="Compact"/>
              <w:jc w:val="left"/>
            </w:pPr>
            <w:r>
              <w:t xml:space="preserve">38,400.00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Financial Modeling, Cash Flow Forecasting, and Investment Feasibility Study for a proposed expansion project in the Jeddah Economic Zone</w:t>
            </w:r>
          </w:p>
        </w:tc>
        <w:tc>
          <w:tcPr/>
          <w:p>
            <w:pPr>
              <w:pStyle w:val="Compact"/>
              <w:jc w:val="left"/>
            </w:pPr>
            <w:r>
              <w:t xml:space="preserve">28 hours</w:t>
            </w:r>
          </w:p>
        </w:tc>
        <w:tc>
          <w:tcPr/>
          <w:p>
            <w:pPr>
              <w:pStyle w:val="Compact"/>
              <w:jc w:val="left"/>
            </w:pPr>
            <w:r>
              <w:t xml:space="preserve">1,400</w:t>
            </w:r>
          </w:p>
        </w:tc>
        <w:tc>
          <w:tcPr/>
          <w:p>
            <w:pPr>
              <w:pStyle w:val="Compact"/>
              <w:jc w:val="left"/>
            </w:pPr>
            <w:r>
              <w:t xml:space="preserve">39,200.00</w:t>
            </w:r>
          </w:p>
        </w:tc>
        <w:tc>
          <w:tcPr/>
          <w:p>
            <w:pPr>
              <w:pStyle w:val="Compact"/>
              <w:jc w:val="left"/>
            </w:pPr>
            <w:r>
              <w:t xml:space="preserve">5,880.00</w:t>
            </w:r>
          </w:p>
        </w:tc>
      </w:tr>
      <w:tr>
        <w:tc>
          <w:tcPr/>
          <w:p>
            <w:pPr>
              <w:pStyle w:val="Compact"/>
              <w:jc w:val="left"/>
            </w:pPr>
            <w:r>
              <w:t xml:space="preserve">4</w:t>
            </w:r>
          </w:p>
        </w:tc>
        <w:tc>
          <w:tcPr/>
          <w:p>
            <w:pPr>
              <w:pStyle w:val="Compact"/>
              <w:jc w:val="left"/>
            </w:pPr>
            <w:r>
              <w:t xml:space="preserve">Organizational Development Workshop &amp; Leadership Training for 25 senior executives (3-day intensive program held at the client’s Jeddah headquarters)</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Digital Transformation Roadmap &amp; Technology Integration Advisory for the Business Consultant’s client, covering ERP migration and cloud infrastructure planning</w:t>
            </w:r>
          </w:p>
        </w:tc>
        <w:tc>
          <w:tcPr/>
          <w:p>
            <w:pPr>
              <w:pStyle w:val="Compact"/>
              <w:jc w:val="left"/>
            </w:pPr>
            <w:r>
              <w:t xml:space="preserve">24 hours</w:t>
            </w:r>
          </w:p>
        </w:tc>
        <w:tc>
          <w:tcPr/>
          <w:p>
            <w:pPr>
              <w:pStyle w:val="Compact"/>
              <w:jc w:val="left"/>
            </w:pPr>
            <w:r>
              <w:t xml:space="preserve">1,300</w:t>
            </w:r>
          </w:p>
        </w:tc>
        <w:tc>
          <w:tcPr/>
          <w:p>
            <w:pPr>
              <w:pStyle w:val="Compact"/>
              <w:jc w:val="left"/>
            </w:pPr>
            <w:r>
              <w:t xml:space="preserve">31,200.00</w:t>
            </w:r>
          </w:p>
        </w:tc>
        <w:tc>
          <w:tcPr/>
          <w:p>
            <w:pPr>
              <w:pStyle w:val="Compact"/>
              <w:jc w:val="left"/>
            </w:pPr>
            <w:r>
              <w:t xml:space="preserve">4,680.00</w:t>
            </w:r>
          </w:p>
        </w:tc>
      </w:tr>
      <w:tr>
        <w:tc>
          <w:tcPr/>
          <w:p>
            <w:pPr>
              <w:pStyle w:val="Compact"/>
              <w:jc w:val="left"/>
            </w:pPr>
            <w:r>
              <w:t xml:space="preserve">6</w:t>
            </w:r>
          </w:p>
        </w:tc>
        <w:tc>
          <w:tcPr/>
          <w:p>
            <w:pPr>
              <w:pStyle w:val="Compact"/>
              <w:jc w:val="left"/>
            </w:pPr>
            <w:r>
              <w:t xml:space="preserve">Regulatory Compliance Review &amp; ZATCA Tax Advisory for the fiscal year 2024–2025, ensuring full alignment with Saudi Arabia Jeddah municipal and federal tax obligations</w:t>
            </w:r>
          </w:p>
        </w:tc>
        <w:tc>
          <w:tcPr/>
          <w:p>
            <w:pPr>
              <w:pStyle w:val="Compact"/>
              <w:jc w:val="left"/>
            </w:pPr>
            <w:r>
              <w:t xml:space="preserve">16 hours</w:t>
            </w:r>
          </w:p>
        </w:tc>
        <w:tc>
          <w:tcPr/>
          <w:p>
            <w:pPr>
              <w:pStyle w:val="Compact"/>
              <w:jc w:val="left"/>
            </w:pPr>
            <w:r>
              <w:t xml:space="preserve">1,100</w:t>
            </w:r>
          </w:p>
        </w:tc>
        <w:tc>
          <w:tcPr/>
          <w:p>
            <w:pPr>
              <w:pStyle w:val="Compact"/>
              <w:jc w:val="left"/>
            </w:pPr>
            <w:r>
              <w:t xml:space="preserve">17,600.00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219,400.00</w:t>
            </w:r>
          </w:p>
        </w:tc>
      </w:tr>
      <w:tr>
        <w:tc>
          <w:tcPr/>
          <w:p>
            <w:pPr>
              <w:pStyle w:val="Compact"/>
              <w:jc w:val="left"/>
            </w:pPr>
            <w:r>
              <w:t xml:space="preserve">VAT @ 15% (SAR)</w:t>
            </w:r>
          </w:p>
        </w:tc>
        <w:tc>
          <w:tcPr/>
          <w:p>
            <w:pPr>
              <w:pStyle w:val="Compact"/>
              <w:jc w:val="right"/>
            </w:pPr>
            <w:r>
              <w:t xml:space="preserve">32,910.00</w:t>
            </w:r>
          </w:p>
        </w:tc>
      </w:tr>
      <w:tr>
        <w:tc>
          <w:tcPr/>
          <w:p>
            <w:pPr>
              <w:pStyle w:val="Compact"/>
              <w:jc w:val="left"/>
            </w:pPr>
            <w:r>
              <w:t xml:space="preserve">Discount — Early Payment (5%)</w:t>
            </w:r>
          </w:p>
        </w:tc>
        <w:tc>
          <w:tcPr/>
          <w:p>
            <w:pPr>
              <w:pStyle w:val="Compact"/>
              <w:jc w:val="right"/>
            </w:pPr>
            <w:r>
              <w:t xml:space="preserve">(10,970.00)</w:t>
            </w:r>
          </w:p>
        </w:tc>
      </w:tr>
      <w:tr>
        <w:tc>
          <w:tcPr/>
          <w:p>
            <w:pPr>
              <w:pStyle w:val="Compact"/>
              <w:jc w:val="left"/>
            </w:pPr>
            <w:r>
              <w:t xml:space="preserve">Grand Total Due (SAR)</w:t>
            </w:r>
          </w:p>
        </w:tc>
        <w:tc>
          <w:tcPr/>
          <w:p>
            <w:pPr>
              <w:pStyle w:val="Compact"/>
              <w:jc w:val="right"/>
            </w:pPr>
            <w:r>
              <w:t xml:space="preserve">241,340.00</w:t>
            </w:r>
          </w:p>
        </w:tc>
      </w:tr>
    </w:tbl>
    <w:bookmarkEnd w:id="25"/>
    <w:bookmarkStart w:id="26" w:name="terms-conditions-payment-instructions"/>
    <w:p>
      <w:pPr>
        <w:pStyle w:val="Heading3"/>
      </w:pPr>
      <w:r>
        <w:t xml:space="preserve">Terms, Conditions &amp; Payment Instructions</w:t>
      </w:r>
    </w:p>
    <w:p>
      <w:pPr>
        <w:numPr>
          <w:ilvl w:val="0"/>
          <w:numId w:val="1001"/>
        </w:numPr>
        <w:pStyle w:val="Compact"/>
      </w:pPr>
      <w:r>
        <w:rPr>
          <w:bCs/>
          <w:b/>
        </w:rPr>
        <w:t xml:space="preserve">Payment Due Date:</w:t>
      </w:r>
      <w:r>
        <w:t xml:space="preserve"> </w:t>
      </w:r>
      <w:r>
        <w:t xml:space="preserve">This Invoice must be settled in full within thirty (30) calendar days from the Invoice date of 15 June 2025. Late payments shall accrue a penalty of 1.5% per month as stipulated under Saudi commercial law.</w:t>
      </w:r>
    </w:p>
    <w:p>
      <w:pPr>
        <w:numPr>
          <w:ilvl w:val="0"/>
          <w:numId w:val="1001"/>
        </w:numPr>
        <w:pStyle w:val="Compact"/>
      </w:pPr>
      <w:r>
        <w:rPr>
          <w:bCs/>
          <w:b/>
        </w:rPr>
        <w:t xml:space="preserve">Payment Method:</w:t>
      </w:r>
      <w:r>
        <w:t xml:space="preserve"> </w:t>
      </w:r>
      <w:r>
        <w:t xml:space="preserve">Please remit payment via bank transfer to Al-Nakheel Business Consulting LLC, Saudi National Bank, IBAN: SA03 8000 0000 6080 1016 7519. Reference the Invoice number INV-2025-JED-00487 on all remittances.</w:t>
      </w:r>
    </w:p>
    <w:p>
      <w:pPr>
        <w:numPr>
          <w:ilvl w:val="0"/>
          <w:numId w:val="1001"/>
        </w:numPr>
        <w:pStyle w:val="Compact"/>
      </w:pPr>
      <w:r>
        <w:rPr>
          <w:bCs/>
          <w:b/>
        </w:rPr>
        <w:t xml:space="preserve">VAT Compliance:</w:t>
      </w:r>
      <w:r>
        <w:t xml:space="preserve"> </w:t>
      </w:r>
      <w:r>
        <w:t xml:space="preserve">This Invoice has been issued in accordance with the Value Added Tax (VAT) regulations of the Zakat, Tax and Customs Authority (ZATCA) of Saudi Arabia. The 15% VAT rate is applied to all taxable Business Consultant services rendered in Jeddah, Saudi Arabia.</w:t>
      </w:r>
    </w:p>
    <w:p>
      <w:pPr>
        <w:numPr>
          <w:ilvl w:val="0"/>
          <w:numId w:val="1001"/>
        </w:numPr>
        <w:pStyle w:val="Compact"/>
      </w:pPr>
      <w:r>
        <w:rPr>
          <w:bCs/>
          <w:b/>
        </w:rPr>
        <w:t xml:space="preserve">Scope of Services:</w:t>
      </w:r>
      <w:r>
        <w:t xml:space="preserve"> </w:t>
      </w:r>
      <w:r>
        <w:t xml:space="preserve">All Business Consultant engagements described herein were performed by a licensed and certified professional operating under the regulatory oversight of the Ministry of Commerce, Kingdom of Saudi Arabia. The Business Consultant warrants that all deliverables meet the quality standards outlined in the Master Service Agreement.</w:t>
      </w:r>
    </w:p>
    <w:p>
      <w:pPr>
        <w:numPr>
          <w:ilvl w:val="0"/>
          <w:numId w:val="1001"/>
        </w:numPr>
        <w:pStyle w:val="Compact"/>
      </w:pPr>
      <w:r>
        <w:rPr>
          <w:bCs/>
          <w:b/>
        </w:rPr>
        <w:t xml:space="preserve">Dispute Resolution:</w:t>
      </w:r>
      <w:r>
        <w:t xml:space="preserve"> </w:t>
      </w:r>
      <w:r>
        <w:t xml:space="preserve">Any disputes arising from this Invoice or the associated Business Consultant services shall be resolved through the Jeddah Commercial Court in accordance with the laws of Saudi Arabia. Both parties agree to attempt mediation before initiating formal legal proceedings.</w:t>
      </w:r>
    </w:p>
    <w:p>
      <w:pPr>
        <w:numPr>
          <w:ilvl w:val="0"/>
          <w:numId w:val="1001"/>
        </w:numPr>
        <w:pStyle w:val="Compact"/>
      </w:pPr>
      <w:r>
        <w:rPr>
          <w:bCs/>
          <w:b/>
        </w:rPr>
        <w:t xml:space="preserve">Confidentiality:</w:t>
      </w:r>
      <w:r>
        <w:t xml:space="preserve"> </w:t>
      </w:r>
      <w:r>
        <w:t xml:space="preserve">All financial data, strategic plans, and proprietary information shared during the course of this Business Consultant engagement remain strictly confidential and are protected under the Saudi Personal Data Protection Law (PDPL) and the terms of the executed Non-Disclosure Agreement (NDA-2025-0012).</w:t>
      </w:r>
    </w:p>
    <w:p>
      <w:pPr>
        <w:numPr>
          <w:ilvl w:val="0"/>
          <w:numId w:val="1001"/>
        </w:numPr>
        <w:pStyle w:val="Compact"/>
      </w:pPr>
      <w:r>
        <w:rPr>
          <w:bCs/>
          <w:b/>
        </w:rPr>
        <w:t xml:space="preserve">Revisions:</w:t>
      </w:r>
      <w:r>
        <w:t xml:space="preserve"> </w:t>
      </w:r>
      <w:r>
        <w:t xml:space="preserve">The client may request one (1) round of revisions on any deliverable at no additional cost. Subsequent revisions will be billed at the standard Business Consultant hourly rate of SAR 1,200 per hour.</w:t>
      </w:r>
    </w:p>
    <w:bookmarkEnd w:id="26"/>
    <w:p>
      <w:pPr>
        <w:pStyle w:val="FirstParagraph"/>
      </w:pPr>
      <w:r>
        <w:rPr>
          <w:bCs/>
          <w:b/>
        </w:rPr>
        <w:t xml:space="preserve">Al-Nakheel Business Consulting LLC</w:t>
      </w:r>
      <w:r>
        <w:t xml:space="preserve"> </w:t>
      </w:r>
      <w:r>
        <w:t xml:space="preserve">— A licensed Business Consultant firm registered in Jeddah, Saudi Arabia.</w:t>
      </w:r>
    </w:p>
    <w:p>
      <w:pPr>
        <w:pStyle w:val="BodyText"/>
      </w:pPr>
      <w:r>
        <w:t xml:space="preserve">This Invoice is a legally binding document issued under the commercial laws of the Kingdom of Saudi Arabia. It is valid only when bearing the official company stamp and authorized signature.</w:t>
      </w:r>
    </w:p>
    <w:p>
      <w:pPr>
        <w:pStyle w:val="BodyText"/>
      </w:pPr>
      <w:r>
        <w:t xml:space="preserve">© 2025 Al-Nakheel Business Consulting LLC. All rights reserved. | Jeddah, Saudi Arabia | CR: 1010456789 | VAT: 310123456700003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Saudi Arabia Jeddah</dc:title>
  <dc:creator/>
  <dc:language>en</dc:language>
  <cp:keywords/>
  <dcterms:created xsi:type="dcterms:W3CDTF">2026-10-10T08:50:51Z</dcterms:created>
  <dcterms:modified xsi:type="dcterms:W3CDTF">2026-10-10T08:50:51Z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