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strategic-consulting-llc"/>
    <w:p>
      <w:pPr>
        <w:pStyle w:val="Heading1"/>
      </w:pPr>
      <w:r>
        <w:t xml:space="preserve">Al-Riyadh Strategic Consulting LLC</w:t>
      </w:r>
    </w:p>
    <w:p>
      <w:pPr>
        <w:pStyle w:val="FirstParagraph"/>
      </w:pPr>
      <w:r>
        <w:t xml:space="preserve">Business Consultant Services Division</w:t>
      </w:r>
    </w:p>
    <w:p>
      <w:pPr>
        <w:pStyle w:val="BodyText"/>
      </w:pPr>
      <w:r>
        <w:t xml:space="preserve">King Fahd Road, Al Olaya District</w:t>
      </w:r>
    </w:p>
    <w:p>
      <w:pPr>
        <w:pStyle w:val="BodyText"/>
      </w:pPr>
      <w:r>
        <w:t xml:space="preserve">Riyadh 12212, Saudi Arabia</w:t>
      </w:r>
    </w:p>
    <w:p>
      <w:pPr>
        <w:pStyle w:val="BodyText"/>
      </w:pPr>
      <w:r>
        <w:t xml:space="preserve">CR No: 1010XXXXXX | VAT No: 3101XXXXXX00003</w:t>
      </w:r>
    </w:p>
    <w:p>
      <w:pPr>
        <w:pStyle w:val="BodyText"/>
      </w:pPr>
      <w:r>
        <w:t xml:space="preserve">Tel: +966 11 456 7890 | Email: billing@alriyadhconsulting.sa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VAT Registered</w:t>
      </w:r>
    </w:p>
    <w:bookmarkEnd w:id="21"/>
    <w:bookmarkStart w:id="22" w:name="business-consultant-service-provider"/>
    <w:p>
      <w:pPr>
        <w:pStyle w:val="Heading3"/>
      </w:pPr>
      <w:r>
        <w:t xml:space="preserve">Business Consultant (Service Provider)</w:t>
      </w:r>
    </w:p>
    <w:p>
      <w:pPr>
        <w:pStyle w:val="FirstParagraph"/>
      </w:pPr>
      <w:r>
        <w:rPr>
          <w:bCs/>
          <w:b/>
        </w:rPr>
        <w:t xml:space="preserve">Al-Riyadh Strategic Consulting LLC</w:t>
      </w:r>
    </w:p>
    <w:p>
      <w:pPr>
        <w:pStyle w:val="BodyText"/>
      </w:pPr>
      <w:r>
        <w:t xml:space="preserve">King Fahd Road, Al Olaya District</w:t>
      </w:r>
    </w:p>
    <w:p>
      <w:pPr>
        <w:pStyle w:val="BodyText"/>
      </w:pPr>
      <w:r>
        <w:t xml:space="preserve">Riyadh 12212, Saudi Arabia</w:t>
      </w:r>
    </w:p>
    <w:p>
      <w:pPr>
        <w:pStyle w:val="BodyText"/>
      </w:pPr>
      <w:r>
        <w:t xml:space="preserve">IBAN: SA03 8000 0000 6080 1016 7519</w:t>
      </w:r>
    </w:p>
    <w:p>
      <w:pPr>
        <w:pStyle w:val="BodyText"/>
      </w:pPr>
      <w:r>
        <w:t xml:space="preserve">Bank: Saudi National Bank (SNB)</w:t>
      </w:r>
    </w:p>
    <w:p>
      <w:pPr>
        <w:pStyle w:val="BodyText"/>
      </w:pPr>
      <w:r>
        <w:t xml:space="preserve">Branch: Al Olaya, Riyadh</w:t>
      </w:r>
    </w:p>
    <w:bookmarkEnd w:id="22"/>
    <w:bookmarkStart w:id="23" w:name="bill-to-client"/>
    <w:p>
      <w:pPr>
        <w:pStyle w:val="Heading3"/>
      </w:pPr>
      <w:r>
        <w:t xml:space="preserve">Bill To (Client)</w:t>
      </w:r>
    </w:p>
    <w:p>
      <w:pPr>
        <w:pStyle w:val="FirstParagraph"/>
      </w:pPr>
      <w:r>
        <w:rPr>
          <w:bCs/>
          <w:b/>
        </w:rPr>
        <w:t xml:space="preserve">Al-Nakheel Industrial Group</w:t>
      </w:r>
    </w:p>
    <w:p>
      <w:pPr>
        <w:pStyle w:val="BodyText"/>
      </w:pPr>
      <w:r>
        <w:t xml:space="preserve">Prince Sultan Road, Al Malqa District</w:t>
      </w:r>
    </w:p>
    <w:p>
      <w:pPr>
        <w:pStyle w:val="BodyText"/>
      </w:pPr>
      <w:r>
        <w:t xml:space="preserve">Riyadh 13321, Saudi Arabia</w:t>
      </w:r>
    </w:p>
    <w:p>
      <w:pPr>
        <w:pStyle w:val="BodyText"/>
      </w:pPr>
      <w:r>
        <w:t xml:space="preserve">CR No: 1010YYYYYY</w:t>
      </w:r>
    </w:p>
    <w:p>
      <w:pPr>
        <w:pStyle w:val="BodyText"/>
      </w:pPr>
      <w:r>
        <w:t xml:space="preserve">VAT No: 3101YYYYYY00003</w:t>
      </w:r>
    </w:p>
    <w:p>
      <w:pPr>
        <w:pStyle w:val="BodyText"/>
      </w:pPr>
      <w:r>
        <w:t xml:space="preserve">Contact: Mr. Khalid Al-Otaibi, CFO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Consulting Services</w:t>
            </w:r>
          </w:p>
        </w:tc>
        <w:tc>
          <w:tcPr/>
          <w:p>
            <w:pPr>
              <w:pStyle w:val="Compact"/>
              <w:jc w:val="left"/>
            </w:pPr>
            <w:r>
              <w:t xml:space="preserve">Rate (SAR)</w:t>
            </w:r>
          </w:p>
        </w:tc>
        <w:tc>
          <w:tcPr/>
          <w:p>
            <w:pPr>
              <w:pStyle w:val="Compact"/>
              <w:jc w:val="left"/>
            </w:pPr>
            <w:r>
              <w:t xml:space="preserve">Hours / Units</w:t>
            </w:r>
          </w:p>
        </w:tc>
        <w:tc>
          <w:tcPr/>
          <w:p>
            <w:pPr>
              <w:pStyle w:val="Compact"/>
              <w:jc w:val="left"/>
            </w:pPr>
            <w:r>
              <w:t xml:space="preserve">Amount (SAR)</w:t>
            </w:r>
          </w:p>
        </w:tc>
        <w:tc>
          <w:tcPr/>
          <w:p>
            <w:pPr>
              <w:pStyle w:val="Compact"/>
              <w:jc w:val="left"/>
            </w:pPr>
            <w:r>
              <w:t xml:space="preserve">VAT 15% (SAR)</w:t>
            </w:r>
          </w:p>
        </w:tc>
      </w:tr>
      <w:tr>
        <w:tc>
          <w:tcPr/>
          <w:p>
            <w:pPr>
              <w:pStyle w:val="Compact"/>
              <w:jc w:val="left"/>
            </w:pPr>
            <w:r>
              <w:t xml:space="preserve">1</w:t>
            </w:r>
          </w:p>
        </w:tc>
        <w:tc>
          <w:tcPr/>
          <w:p>
            <w:pPr>
              <w:pStyle w:val="Compact"/>
              <w:jc w:val="left"/>
            </w:pPr>
            <w:r>
              <w:t xml:space="preserve">Strategic Business Planning &amp; Organizational Restructuring Advisory – Comprehensive assessment of the client's operational framework in Riyadh, including SWOT analysis, competitive positioning, and five-year strategic roadmap development.</w:t>
            </w:r>
          </w:p>
        </w:tc>
        <w:tc>
          <w:tcPr/>
          <w:p>
            <w:pPr>
              <w:pStyle w:val="Compact"/>
              <w:jc w:val="left"/>
            </w:pPr>
            <w:r>
              <w:t xml:space="preserve">1,200.00</w:t>
            </w:r>
          </w:p>
        </w:tc>
        <w:tc>
          <w:tcPr/>
          <w:p>
            <w:pPr>
              <w:pStyle w:val="Compact"/>
              <w:jc w:val="left"/>
            </w:pPr>
            <w:r>
              <w:t xml:space="preserve">40 hrs</w:t>
            </w:r>
          </w:p>
        </w:tc>
        <w:tc>
          <w:tcPr/>
          <w:p>
            <w:pPr>
              <w:pStyle w:val="Compact"/>
              <w:jc w:val="left"/>
            </w:pPr>
            <w:r>
              <w:t xml:space="preserve">48,000.00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Market Entry &amp; Expansion Strategy for the Eastern Province – Feasibility study, regulatory compliance review under Saudi Vision 2030 guidelines, and stakeholder engagement plan prepared by the Business Consultant team.</w:t>
            </w:r>
          </w:p>
        </w:tc>
        <w:tc>
          <w:tcPr/>
          <w:p>
            <w:pPr>
              <w:pStyle w:val="Compact"/>
              <w:jc w:val="left"/>
            </w:pPr>
            <w:r>
              <w:t xml:space="preserve">1,500.00</w:t>
            </w:r>
          </w:p>
        </w:tc>
        <w:tc>
          <w:tcPr/>
          <w:p>
            <w:pPr>
              <w:pStyle w:val="Compact"/>
              <w:jc w:val="left"/>
            </w:pPr>
            <w:r>
              <w:t xml:space="preserve">30 hrs</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3</w:t>
            </w:r>
          </w:p>
        </w:tc>
        <w:tc>
          <w:tcPr/>
          <w:p>
            <w:pPr>
              <w:pStyle w:val="Compact"/>
              <w:jc w:val="left"/>
            </w:pPr>
            <w:r>
              <w:t xml:space="preserve">Digital Transformation Roadmap &amp; Technology Integration Advisory – Assessment of current IT infrastructure, recommendation of cloud migration strategy, and alignment with Saudi Arabia's National Cybersecurity Authority (NCA) standards.</w:t>
            </w:r>
          </w:p>
        </w:tc>
        <w:tc>
          <w:tcPr/>
          <w:p>
            <w:pPr>
              <w:pStyle w:val="Compact"/>
              <w:jc w:val="left"/>
            </w:pPr>
            <w:r>
              <w:t xml:space="preserve">1,800.00</w:t>
            </w:r>
          </w:p>
        </w:tc>
        <w:tc>
          <w:tcPr/>
          <w:p>
            <w:pPr>
              <w:pStyle w:val="Compact"/>
              <w:jc w:val="left"/>
            </w:pPr>
            <w:r>
              <w:t xml:space="preserve">25 hrs</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4</w:t>
            </w:r>
          </w:p>
        </w:tc>
        <w:tc>
          <w:tcPr/>
          <w:p>
            <w:pPr>
              <w:pStyle w:val="Compact"/>
              <w:jc w:val="left"/>
            </w:pPr>
            <w:r>
              <w:t xml:space="preserve">Human Capital Development &amp; Leadership Training Program Design – Customized executive coaching curriculum, performance management framework, and succession planning strategy for senior leadership in Riyadh headquarters.</w:t>
            </w:r>
          </w:p>
        </w:tc>
        <w:tc>
          <w:tcPr/>
          <w:p>
            <w:pPr>
              <w:pStyle w:val="Compact"/>
              <w:jc w:val="left"/>
            </w:pPr>
            <w:r>
              <w:t xml:space="preserve">1,000.00</w:t>
            </w:r>
          </w:p>
        </w:tc>
        <w:tc>
          <w:tcPr/>
          <w:p>
            <w:pPr>
              <w:pStyle w:val="Compact"/>
              <w:jc w:val="left"/>
            </w:pPr>
            <w:r>
              <w:t xml:space="preserve">35 hrs</w:t>
            </w:r>
          </w:p>
        </w:tc>
        <w:tc>
          <w:tcPr/>
          <w:p>
            <w:pPr>
              <w:pStyle w:val="Compact"/>
              <w:jc w:val="left"/>
            </w:pPr>
            <w:r>
              <w:t xml:space="preserve">35,000.00</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Financial Modeling &amp; Investment Appraisal – Development of discounted cash flow models, sensitivity analysis, and capital allocation recommendations for proposed joint venture opportunities in the Kingdom.</w:t>
            </w:r>
          </w:p>
        </w:tc>
        <w:tc>
          <w:tcPr/>
          <w:p>
            <w:pPr>
              <w:pStyle w:val="Compact"/>
              <w:jc w:val="left"/>
            </w:pPr>
            <w:r>
              <w:t xml:space="preserve">2,000.00</w:t>
            </w:r>
          </w:p>
        </w:tc>
        <w:tc>
          <w:tcPr/>
          <w:p>
            <w:pPr>
              <w:pStyle w:val="Compact"/>
              <w:jc w:val="left"/>
            </w:pPr>
            <w:r>
              <w:t xml:space="preserve">20 hrs</w:t>
            </w:r>
          </w:p>
        </w:tc>
        <w:tc>
          <w:tcPr/>
          <w:p>
            <w:pPr>
              <w:pStyle w:val="Compact"/>
              <w:jc w:val="left"/>
            </w:pPr>
            <w:r>
              <w:t xml:space="preserve">40,000.00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Regulatory Compliance &amp; ZATCA E-Invoicing Advisory – Guidance on Zakat, Tax and Customs Authority (ZATCA) Phase 2 e-invoicing integration, corporate tax compliance, and VAT filing optimization for the client's operations in Saudi Arabia.</w:t>
            </w:r>
          </w:p>
        </w:tc>
        <w:tc>
          <w:tcPr/>
          <w:p>
            <w:pPr>
              <w:pStyle w:val="Compact"/>
              <w:jc w:val="left"/>
            </w:pPr>
            <w:r>
              <w:t xml:space="preserve">1,400.00</w:t>
            </w:r>
          </w:p>
        </w:tc>
        <w:tc>
          <w:tcPr/>
          <w:p>
            <w:pPr>
              <w:pStyle w:val="Compact"/>
              <w:jc w:val="left"/>
            </w:pPr>
            <w:r>
              <w:t xml:space="preserve">15 hrs</w:t>
            </w:r>
          </w:p>
        </w:tc>
        <w:tc>
          <w:tcPr/>
          <w:p>
            <w:pPr>
              <w:pStyle w:val="Compact"/>
              <w:jc w:val="left"/>
            </w:pPr>
            <w:r>
              <w:t xml:space="preserve">21,000.00</w:t>
            </w:r>
          </w:p>
        </w:tc>
        <w:tc>
          <w:tcPr/>
          <w:p>
            <w:pPr>
              <w:pStyle w:val="Compact"/>
              <w:jc w:val="left"/>
            </w:pPr>
            <w:r>
              <w:t xml:space="preserve">3,150.00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SAR 234,000.00</w:t>
            </w:r>
          </w:p>
        </w:tc>
      </w:tr>
      <w:tr>
        <w:tc>
          <w:tcPr/>
          <w:p>
            <w:pPr>
              <w:pStyle w:val="Compact"/>
              <w:jc w:val="left"/>
            </w:pPr>
            <w:r>
              <w:t xml:space="preserve">VAT @ 15% (Saudi Arabia)</w:t>
            </w:r>
          </w:p>
        </w:tc>
        <w:tc>
          <w:tcPr/>
          <w:p>
            <w:pPr>
              <w:pStyle w:val="Compact"/>
              <w:jc w:val="left"/>
            </w:pPr>
            <w:r>
              <w:t xml:space="preserve">SAR 35,100.00</w:t>
            </w:r>
          </w:p>
        </w:tc>
      </w:tr>
      <w:tr>
        <w:tc>
          <w:tcPr/>
          <w:p>
            <w:pPr>
              <w:pStyle w:val="Compact"/>
              <w:jc w:val="left"/>
            </w:pPr>
            <w:r>
              <w:t xml:space="preserve">Discount (Early Payment – 2%)</w:t>
            </w:r>
          </w:p>
        </w:tc>
        <w:tc>
          <w:tcPr/>
          <w:p>
            <w:pPr>
              <w:pStyle w:val="Compact"/>
              <w:jc w:val="left"/>
            </w:pPr>
            <w:r>
              <w:t xml:space="preserve">- SAR 4,680.00</w:t>
            </w:r>
          </w:p>
        </w:tc>
      </w:tr>
      <w:tr>
        <w:tc>
          <w:tcPr/>
          <w:p>
            <w:pPr>
              <w:pStyle w:val="Compact"/>
              <w:jc w:val="left"/>
            </w:pPr>
            <w:r>
              <w:rPr>
                <w:bCs/>
                <w:b/>
              </w:rPr>
              <w:t xml:space="preserve">Grand Total Due</w:t>
            </w:r>
          </w:p>
        </w:tc>
        <w:tc>
          <w:tcPr/>
          <w:p>
            <w:pPr>
              <w:pStyle w:val="Compact"/>
              <w:jc w:val="left"/>
            </w:pPr>
            <w:r>
              <w:rPr>
                <w:bCs/>
                <w:b/>
              </w:rPr>
              <w:t xml:space="preserve">SAR 264,420.00</w:t>
            </w:r>
          </w:p>
        </w:tc>
      </w:tr>
    </w:tbl>
    <w:bookmarkStart w:id="24" w:name="payment-terms-instructions"/>
    <w:p>
      <w:pPr>
        <w:pStyle w:val="Heading3"/>
      </w:pPr>
      <w:r>
        <w:t xml:space="preserve">Payment Terms &amp; Instructions</w:t>
      </w:r>
    </w:p>
    <w:p>
      <w:pPr>
        <w:pStyle w:val="FirstParagraph"/>
      </w:pPr>
      <w:r>
        <w:t xml:space="preserve">This Invoice must be settled within fourteen (14) calendar days from the Invoice date, i.e., no later than 30 June 2025. Payment shall be made via bank transfer to the IBAN specified above in the Business Consultant's name. All amounts are quoted in Saudi Riyal (SAR). A late payment penalty of 1.5% per month will be applied to outstanding balances in accordance with Saudi commercial law. Please reference Invoice number INV-2025-04871 in all correspondence and remittance advices. For queries regarding this Invoice or the Business Consultant engagement, please contact our billing department in Riyadh at +966 11 456 7890 or billing@alriyadhconsulting.sa.</w:t>
      </w:r>
    </w:p>
    <w:bookmarkEnd w:id="24"/>
    <w:bookmarkStart w:id="25" w:name="important-notes-terms"/>
    <w:p>
      <w:pPr>
        <w:pStyle w:val="Heading3"/>
      </w:pPr>
      <w:r>
        <w:t xml:space="preserve">Important Notes &amp; Terms</w:t>
      </w:r>
    </w:p>
    <w:p>
      <w:pPr>
        <w:numPr>
          <w:ilvl w:val="0"/>
          <w:numId w:val="1001"/>
        </w:numPr>
        <w:pStyle w:val="Compact"/>
      </w:pPr>
      <w:r>
        <w:t xml:space="preserve">This Invoice has been issued in compliance with the Zakat, Tax and Customs Authority (ZATCA) e-invoicing regulations applicable in Saudi Arabia.</w:t>
      </w:r>
    </w:p>
    <w:p>
      <w:pPr>
        <w:numPr>
          <w:ilvl w:val="0"/>
          <w:numId w:val="1001"/>
        </w:numPr>
        <w:pStyle w:val="Compact"/>
      </w:pPr>
      <w:r>
        <w:t xml:space="preserve">All Business Consultant services rendered were performed at the client's premises in Riyadh, Saudi Arabia, unless otherwise noted in the engagement letter dated 28 April 2025.</w:t>
      </w:r>
    </w:p>
    <w:p>
      <w:pPr>
        <w:numPr>
          <w:ilvl w:val="0"/>
          <w:numId w:val="1001"/>
        </w:numPr>
        <w:pStyle w:val="Compact"/>
      </w:pPr>
      <w:r>
        <w:t xml:space="preserve">Travel, accommodation, and per diem expenses incurred by the Business Consultant team while working in Riyadh are included in the hourly rates above and are not billed separately.</w:t>
      </w:r>
    </w:p>
    <w:p>
      <w:pPr>
        <w:numPr>
          <w:ilvl w:val="0"/>
          <w:numId w:val="1001"/>
        </w:numPr>
        <w:pStyle w:val="Compact"/>
      </w:pPr>
      <w:r>
        <w:t xml:space="preserve">This Invoice is valid for ninety (90) days from the date of issue. After this period, the Business Consultant reserves the right to re-quote rates based on prevailing market conditions in Saudi Arabia.</w:t>
      </w:r>
    </w:p>
    <w:p>
      <w:pPr>
        <w:numPr>
          <w:ilvl w:val="0"/>
          <w:numId w:val="1001"/>
        </w:numPr>
        <w:pStyle w:val="Compact"/>
      </w:pPr>
      <w:r>
        <w:t xml:space="preserve">Confidentiality obligations as outlined in the Non-Disclosure Agreement (NDA) executed between both parties remain in full force and effect independent of this Invoice.</w:t>
      </w:r>
    </w:p>
    <w:p>
      <w:pPr>
        <w:numPr>
          <w:ilvl w:val="0"/>
          <w:numId w:val="1001"/>
        </w:numPr>
        <w:pStyle w:val="Compact"/>
      </w:pPr>
      <w:r>
        <w:t xml:space="preserve">Any disputes arising from this Invoice or the underlying Business Consultant services shall be resolved through the competent courts in Riyadh, Kingdom of Saudi Arabia, in accordance with the Saudi Commercial Procedure Law.</w:t>
      </w:r>
    </w:p>
    <w:bookmarkEnd w:id="25"/>
    <w:p>
      <w:pPr>
        <w:pStyle w:val="FirstParagraph"/>
      </w:pPr>
      <w:r>
        <w:rPr>
          <w:bCs/>
          <w:b/>
        </w:rPr>
        <w:t xml:space="preserve">Al-Riyadh Strategic Consulting LLC</w:t>
      </w:r>
      <w:r>
        <w:t xml:space="preserve"> </w:t>
      </w:r>
      <w:r>
        <w:t xml:space="preserve">– Business Consultant Services | Riyadh, Saudi Arabia</w:t>
      </w:r>
    </w:p>
    <w:p>
      <w:pPr>
        <w:pStyle w:val="BodyText"/>
      </w:pPr>
      <w:r>
        <w:t xml:space="preserve">Commercial Registration: 1010XXXXXX | VAT Registration: 3101XXXXXX00003 | ZATCA E-Invoice Reference: ZATCA-INV-2025-04871</w:t>
      </w:r>
    </w:p>
    <w:p>
      <w:pPr>
        <w:pStyle w:val="BodyText"/>
      </w:pPr>
      <w:r>
        <w:t xml:space="preserve">This is a computer-generated Invoice and does not require a physical signature. It is valid as a legal financial document under Saudi Arabian commercial law.</w:t>
      </w:r>
    </w:p>
    <w:p>
      <w:pPr>
        <w:pStyle w:val="BodyText"/>
      </w:pPr>
      <w:r>
        <w:t xml:space="preserve">© 2025 Al-Riyadh Strategic Consulting LLC.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Saudi Arabia Riyadh</dc:title>
  <dc:creator/>
  <dc:language>en</dc:language>
  <cp:keywords/>
  <dcterms:created xsi:type="dcterms:W3CDTF">2026-10-10T03:50:18Z</dcterms:created>
  <dcterms:modified xsi:type="dcterms:W3CDTF">2026-10-10T03:50:18Z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