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voice"/>
    <w:p>
      <w:pPr>
        <w:pStyle w:val="Heading1"/>
      </w:pPr>
      <w:r>
        <w:t xml:space="preserve">INVOICE</w:t>
      </w:r>
    </w:p>
    <w:p>
      <w:pPr>
        <w:pStyle w:val="FirstParagraph"/>
      </w:pPr>
      <w:r>
        <w:t xml:space="preserve">Professional Business Consultant Services</w:t>
      </w:r>
    </w:p>
    <w:p>
      <w:pPr>
        <w:pStyle w:val="BodyText"/>
      </w:pPr>
      <w:r>
        <w:t xml:space="preserve">South Africa Cape Town</w:t>
      </w:r>
    </w:p>
    <w:bookmarkEnd w:id="20"/>
    <w:p>
      <w:pPr>
        <w:pStyle w:val="BodyText"/>
      </w:pPr>
      <w:r>
        <w:rPr>
          <w:bCs/>
          <w:b/>
        </w:rPr>
        <w:t xml:space="preserve">Invoice Number:</w:t>
      </w:r>
      <w:r>
        <w:t xml:space="preserve"> </w:t>
      </w:r>
      <w:r>
        <w:t xml:space="preserve">INV-2025-CT-0047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BC-CT-2025-Q2</w:t>
      </w:r>
    </w:p>
    <w:bookmarkStart w:id="21" w:name="business-consultant-service-provider"/>
    <w:p>
      <w:pPr>
        <w:pStyle w:val="Heading3"/>
      </w:pPr>
      <w:r>
        <w:t xml:space="preserve">Business Consultant (Service Provider)</w:t>
      </w:r>
    </w:p>
    <w:p>
      <w:pPr>
        <w:pStyle w:val="FirstParagraph"/>
      </w:pPr>
      <w:r>
        <w:rPr>
          <w:bCs/>
          <w:b/>
        </w:rPr>
        <w:t xml:space="preserve">Strategic Advisory &amp; Consulting (Pty) Ltd</w:t>
      </w:r>
    </w:p>
    <w:p>
      <w:pPr>
        <w:pStyle w:val="BodyText"/>
      </w:pPr>
      <w:r>
        <w:t xml:space="preserve">124 Bree Street, Cape Town Central</w:t>
      </w:r>
    </w:p>
    <w:p>
      <w:pPr>
        <w:pStyle w:val="BodyText"/>
      </w:pPr>
      <w:r>
        <w:t xml:space="preserve">Cape Town, 8001, South Africa</w:t>
      </w:r>
    </w:p>
    <w:p>
      <w:pPr>
        <w:pStyle w:val="BodyText"/>
      </w:pPr>
      <w:r>
        <w:t xml:space="preserve">VAT Registration No: 4930123456</w:t>
      </w:r>
    </w:p>
    <w:p>
      <w:pPr>
        <w:pStyle w:val="BodyText"/>
      </w:pPr>
      <w:r>
        <w:t xml:space="preserve">Registration No: 2019/123456/07</w:t>
      </w:r>
    </w:p>
    <w:p>
      <w:pPr>
        <w:pStyle w:val="BodyText"/>
      </w:pPr>
      <w:r>
        <w:t xml:space="preserve">Phone: +27 21 555 0142</w:t>
      </w:r>
    </w:p>
    <w:p>
      <w:pPr>
        <w:pStyle w:val="BodyText"/>
      </w:pPr>
      <w:r>
        <w:t xml:space="preserve">Email: billing@strategicadvisory.co.za</w:t>
      </w:r>
    </w:p>
    <w:p>
      <w:pPr>
        <w:pStyle w:val="BodyText"/>
      </w:pPr>
      <w:r>
        <w:t xml:space="preserve">Bank: FNB | Branch: Cape Town Central</w:t>
      </w:r>
    </w:p>
    <w:p>
      <w:pPr>
        <w:pStyle w:val="BodyText"/>
      </w:pPr>
      <w:r>
        <w:t xml:space="preserve">Account No: 62345678901 | Branch Code: 250655</w:t>
      </w:r>
    </w:p>
    <w:bookmarkEnd w:id="21"/>
    <w:bookmarkStart w:id="22" w:name="bill-to-client"/>
    <w:p>
      <w:pPr>
        <w:pStyle w:val="Heading3"/>
      </w:pPr>
      <w:r>
        <w:t xml:space="preserve">Bill To (Client)</w:t>
      </w:r>
    </w:p>
    <w:p>
      <w:pPr>
        <w:pStyle w:val="FirstParagraph"/>
      </w:pPr>
      <w:r>
        <w:rPr>
          <w:bCs/>
          <w:b/>
        </w:rPr>
        <w:t xml:space="preserve">Atlantic Ridge Holdings (Pty) Ltd</w:t>
      </w:r>
    </w:p>
    <w:p>
      <w:pPr>
        <w:pStyle w:val="BodyText"/>
      </w:pPr>
      <w:r>
        <w:t xml:space="preserve">56 Kloof Street, Gardens</w:t>
      </w:r>
    </w:p>
    <w:p>
      <w:pPr>
        <w:pStyle w:val="BodyText"/>
      </w:pPr>
      <w:r>
        <w:t xml:space="preserve">Cape Town, 8001, South Africa</w:t>
      </w:r>
    </w:p>
    <w:p>
      <w:pPr>
        <w:pStyle w:val="BodyText"/>
      </w:pPr>
      <w:r>
        <w:t xml:space="preserve">VAT Registration No: 4930987654</w:t>
      </w:r>
    </w:p>
    <w:p>
      <w:pPr>
        <w:pStyle w:val="BodyText"/>
      </w:pPr>
      <w:r>
        <w:t xml:space="preserve">Registration No: 2014/654321/07</w:t>
      </w:r>
    </w:p>
    <w:p>
      <w:pPr>
        <w:pStyle w:val="BodyText"/>
      </w:pPr>
      <w:r>
        <w:t xml:space="preserve">Phone: +27 21 444 8890</w:t>
      </w:r>
    </w:p>
    <w:p>
      <w:pPr>
        <w:pStyle w:val="BodyText"/>
      </w:pPr>
      <w:r>
        <w:t xml:space="preserve">Email: accounts@atlanticridge.co.za</w:t>
      </w:r>
    </w:p>
    <w:bookmarkEnd w:id="22"/>
    <w:bookmarkStart w:id="23" w:name="X2ed4bd363a86fcb766a62dae3a1642fbdb70e6e"/>
    <w:p>
      <w:pPr>
        <w:pStyle w:val="Heading3"/>
      </w:pPr>
      <w:r>
        <w:t xml:space="preserve">Description of Business Consultant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(ZAR)</w:t>
            </w:r>
          </w:p>
        </w:tc>
        <w:tc>
          <w:tcPr/>
          <w:p>
            <w:pPr>
              <w:pStyle w:val="Compact"/>
              <w:jc w:val="left"/>
            </w:pPr>
            <w:r>
              <w:t xml:space="preserve">Hours</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Strategic Business Planning &amp; Organizational Restructuring Consultation – Comprehensive assessment of current operational frameworks and delivery of a 3-year strategic roadmap for Atlantic Ridge Holdings, conducted by a senior Business Consultant based in South Africa Cape Town.</w:t>
            </w:r>
          </w:p>
        </w:tc>
        <w:tc>
          <w:tcPr/>
          <w:p>
            <w:pPr>
              <w:pStyle w:val="Compact"/>
              <w:jc w:val="left"/>
            </w:pPr>
            <w:r>
              <w:t xml:space="preserve">Mar 2025</w:t>
            </w:r>
          </w:p>
        </w:tc>
        <w:tc>
          <w:tcPr/>
          <w:p>
            <w:pPr>
              <w:pStyle w:val="Compact"/>
              <w:jc w:val="left"/>
            </w:pPr>
            <w:r>
              <w:t xml:space="preserve">R 2,850.00</w:t>
            </w:r>
          </w:p>
        </w:tc>
        <w:tc>
          <w:tcPr/>
          <w:p>
            <w:pPr>
              <w:pStyle w:val="Compact"/>
              <w:jc w:val="left"/>
            </w:pPr>
            <w:r>
              <w:t xml:space="preserve">48</w:t>
            </w:r>
          </w:p>
        </w:tc>
        <w:tc>
          <w:tcPr/>
          <w:p>
            <w:pPr>
              <w:pStyle w:val="Compact"/>
              <w:jc w:val="left"/>
            </w:pPr>
            <w:r>
              <w:t xml:space="preserve">R 136,800.00</w:t>
            </w:r>
          </w:p>
        </w:tc>
      </w:tr>
      <w:tr>
        <w:tc>
          <w:tcPr/>
          <w:p>
            <w:pPr>
              <w:pStyle w:val="Compact"/>
              <w:jc w:val="left"/>
            </w:pPr>
            <w:r>
              <w:t xml:space="preserve">02</w:t>
            </w:r>
          </w:p>
        </w:tc>
        <w:tc>
          <w:tcPr/>
          <w:p>
            <w:pPr>
              <w:pStyle w:val="Compact"/>
              <w:jc w:val="left"/>
            </w:pPr>
            <w:r>
              <w:t xml:space="preserve">Financial Performance Analysis &amp; Cost Optimization Review – Detailed audit of quarterly financial statements, identification of inefficiencies, and implementation of cost-saving measures aligned with South African regulatory standards.</w:t>
            </w:r>
          </w:p>
        </w:tc>
        <w:tc>
          <w:tcPr/>
          <w:p>
            <w:pPr>
              <w:pStyle w:val="Compact"/>
              <w:jc w:val="left"/>
            </w:pPr>
            <w:r>
              <w:t xml:space="preserve">Apr 2025</w:t>
            </w:r>
          </w:p>
        </w:tc>
        <w:tc>
          <w:tcPr/>
          <w:p>
            <w:pPr>
              <w:pStyle w:val="Compact"/>
              <w:jc w:val="left"/>
            </w:pPr>
            <w:r>
              <w:t xml:space="preserve">R 2,850.00</w:t>
            </w:r>
          </w:p>
        </w:tc>
        <w:tc>
          <w:tcPr/>
          <w:p>
            <w:pPr>
              <w:pStyle w:val="Compact"/>
              <w:jc w:val="left"/>
            </w:pPr>
            <w:r>
              <w:t xml:space="preserve">36</w:t>
            </w:r>
          </w:p>
        </w:tc>
        <w:tc>
          <w:tcPr/>
          <w:p>
            <w:pPr>
              <w:pStyle w:val="Compact"/>
              <w:jc w:val="left"/>
            </w:pPr>
            <w:r>
              <w:t xml:space="preserve">R 102,600.00</w:t>
            </w:r>
          </w:p>
        </w:tc>
      </w:tr>
      <w:tr>
        <w:tc>
          <w:tcPr/>
          <w:p>
            <w:pPr>
              <w:pStyle w:val="Compact"/>
              <w:jc w:val="left"/>
            </w:pPr>
            <w:r>
              <w:t xml:space="preserve">03</w:t>
            </w:r>
          </w:p>
        </w:tc>
        <w:tc>
          <w:tcPr/>
          <w:p>
            <w:pPr>
              <w:pStyle w:val="Compact"/>
              <w:jc w:val="left"/>
            </w:pPr>
            <w:r>
              <w:t xml:space="preserve">Market Entry Strategy for the Western Cape Region – Development of a localized market penetration plan for expansion within South Africa Cape Town and surrounding metropolitan areas, including competitor analysis and consumer behaviour research.</w:t>
            </w:r>
          </w:p>
        </w:tc>
        <w:tc>
          <w:tcPr/>
          <w:p>
            <w:pPr>
              <w:pStyle w:val="Compact"/>
              <w:jc w:val="left"/>
            </w:pPr>
            <w:r>
              <w:t xml:space="preserve">Apr 2025</w:t>
            </w:r>
          </w:p>
        </w:tc>
        <w:tc>
          <w:tcPr/>
          <w:p>
            <w:pPr>
              <w:pStyle w:val="Compact"/>
              <w:jc w:val="left"/>
            </w:pPr>
            <w:r>
              <w:t xml:space="preserve">R 2,850.00</w:t>
            </w:r>
          </w:p>
        </w:tc>
        <w:tc>
          <w:tcPr/>
          <w:p>
            <w:pPr>
              <w:pStyle w:val="Compact"/>
              <w:jc w:val="left"/>
            </w:pPr>
            <w:r>
              <w:t xml:space="preserve">24</w:t>
            </w:r>
          </w:p>
        </w:tc>
        <w:tc>
          <w:tcPr/>
          <w:p>
            <w:pPr>
              <w:pStyle w:val="Compact"/>
              <w:jc w:val="left"/>
            </w:pPr>
            <w:r>
              <w:t xml:space="preserve">R 68,400.00</w:t>
            </w:r>
          </w:p>
        </w:tc>
      </w:tr>
      <w:tr>
        <w:tc>
          <w:tcPr/>
          <w:p>
            <w:pPr>
              <w:pStyle w:val="Compact"/>
              <w:jc w:val="left"/>
            </w:pPr>
            <w:r>
              <w:t xml:space="preserve">04</w:t>
            </w:r>
          </w:p>
        </w:tc>
        <w:tc>
          <w:tcPr/>
          <w:p>
            <w:pPr>
              <w:pStyle w:val="Compact"/>
              <w:jc w:val="left"/>
            </w:pPr>
            <w:r>
              <w:t xml:space="preserve">Leadership Development &amp; Change Management Workshop – Facilitation of a two-day executive workshop for senior management team, focusing on adaptive leadership strategies and organizational change management best practices.</w:t>
            </w:r>
          </w:p>
        </w:tc>
        <w:tc>
          <w:tcPr/>
          <w:p>
            <w:pPr>
              <w:pStyle w:val="Compact"/>
              <w:jc w:val="left"/>
            </w:pPr>
            <w:r>
              <w:t xml:space="preserve">May 2025</w:t>
            </w:r>
          </w:p>
        </w:tc>
        <w:tc>
          <w:tcPr/>
          <w:p>
            <w:pPr>
              <w:pStyle w:val="Compact"/>
              <w:jc w:val="left"/>
            </w:pPr>
            <w:r>
              <w:t xml:space="preserve">R 18,500.00</w:t>
            </w:r>
          </w:p>
        </w:tc>
        <w:tc>
          <w:tcPr/>
          <w:p>
            <w:pPr>
              <w:pStyle w:val="Compact"/>
              <w:jc w:val="left"/>
            </w:pPr>
            <w:r>
              <w:t xml:space="preserve">2 (days)</w:t>
            </w:r>
          </w:p>
        </w:tc>
        <w:tc>
          <w:tcPr/>
          <w:p>
            <w:pPr>
              <w:pStyle w:val="Compact"/>
              <w:jc w:val="left"/>
            </w:pPr>
            <w:r>
              <w:t xml:space="preserve">R 37,000.00</w:t>
            </w:r>
          </w:p>
        </w:tc>
      </w:tr>
      <w:tr>
        <w:tc>
          <w:tcPr/>
          <w:p>
            <w:pPr>
              <w:pStyle w:val="Compact"/>
              <w:jc w:val="left"/>
            </w:pPr>
            <w:r>
              <w:t xml:space="preserve">05</w:t>
            </w:r>
          </w:p>
        </w:tc>
        <w:tc>
          <w:tcPr/>
          <w:p>
            <w:pPr>
              <w:pStyle w:val="Compact"/>
              <w:jc w:val="left"/>
            </w:pPr>
            <w:r>
              <w:t xml:space="preserve">Compliance &amp; Risk Management Advisory – Ongoing advisory services ensuring full compliance with the Companies Act 71 of 2008, POPIA, and relevant South African regulatory frameworks applicable to the client's operations in Cape Town.</w:t>
            </w:r>
          </w:p>
        </w:tc>
        <w:tc>
          <w:tcPr/>
          <w:p>
            <w:pPr>
              <w:pStyle w:val="Compact"/>
              <w:jc w:val="left"/>
            </w:pPr>
            <w:r>
              <w:t xml:space="preserve">May 2025</w:t>
            </w:r>
          </w:p>
        </w:tc>
        <w:tc>
          <w:tcPr/>
          <w:p>
            <w:pPr>
              <w:pStyle w:val="Compact"/>
              <w:jc w:val="left"/>
            </w:pPr>
            <w:r>
              <w:t xml:space="preserve">R 2,850.00</w:t>
            </w:r>
          </w:p>
        </w:tc>
        <w:tc>
          <w:tcPr/>
          <w:p>
            <w:pPr>
              <w:pStyle w:val="Compact"/>
              <w:jc w:val="left"/>
            </w:pPr>
            <w:r>
              <w:t xml:space="preserve">20</w:t>
            </w:r>
          </w:p>
        </w:tc>
        <w:tc>
          <w:tcPr/>
          <w:p>
            <w:pPr>
              <w:pStyle w:val="Compact"/>
              <w:jc w:val="left"/>
            </w:pPr>
            <w:r>
              <w:t xml:space="preserve">R 57,000.00</w:t>
            </w:r>
          </w:p>
        </w:tc>
      </w:tr>
      <w:tr>
        <w:tc>
          <w:tcPr/>
          <w:p>
            <w:pPr>
              <w:pStyle w:val="Compact"/>
              <w:jc w:val="left"/>
            </w:pPr>
            <w:r>
              <w:t xml:space="preserve">06</w:t>
            </w:r>
          </w:p>
        </w:tc>
        <w:tc>
          <w:tcPr/>
          <w:p>
            <w:pPr>
              <w:pStyle w:val="Compact"/>
              <w:jc w:val="left"/>
            </w:pPr>
            <w:r>
              <w:t xml:space="preserve">Quarterly Progress Review &amp; Invoice Reconciliation Meeting – On-site consultation at the client's Gardens office in Cape Town to review project milestones, adjust deliverables, and confirm alignment with the agreed Business Consultant engagement scope.</w:t>
            </w:r>
          </w:p>
        </w:tc>
        <w:tc>
          <w:tcPr/>
          <w:p>
            <w:pPr>
              <w:pStyle w:val="Compact"/>
              <w:jc w:val="left"/>
            </w:pPr>
            <w:r>
              <w:t xml:space="preserve">Jun 2025</w:t>
            </w:r>
          </w:p>
        </w:tc>
        <w:tc>
          <w:tcPr/>
          <w:p>
            <w:pPr>
              <w:pStyle w:val="Compact"/>
              <w:jc w:val="left"/>
            </w:pPr>
            <w:r>
              <w:t xml:space="preserve">R 2,850.00</w:t>
            </w:r>
          </w:p>
        </w:tc>
        <w:tc>
          <w:tcPr/>
          <w:p>
            <w:pPr>
              <w:pStyle w:val="Compact"/>
              <w:jc w:val="left"/>
            </w:pPr>
            <w:r>
              <w:t xml:space="preserve">8</w:t>
            </w:r>
          </w:p>
        </w:tc>
        <w:tc>
          <w:tcPr/>
          <w:p>
            <w:pPr>
              <w:pStyle w:val="Compact"/>
              <w:jc w:val="left"/>
            </w:pPr>
            <w:r>
              <w:t xml:space="preserve">R 22,800.00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424,600.00</w:t>
            </w:r>
          </w:p>
        </w:tc>
      </w:tr>
      <w:tr>
        <w:tc>
          <w:tcPr/>
          <w:p>
            <w:pPr>
              <w:pStyle w:val="Compact"/>
              <w:jc w:val="left"/>
            </w:pPr>
            <w:r>
              <w:t xml:space="preserve">VAT @ 15% (South Africa)</w:t>
            </w:r>
          </w:p>
        </w:tc>
        <w:tc>
          <w:tcPr/>
          <w:p>
            <w:pPr>
              <w:pStyle w:val="Compact"/>
              <w:jc w:val="right"/>
            </w:pPr>
            <w:r>
              <w:t xml:space="preserve">R 63,690.00</w:t>
            </w:r>
          </w:p>
        </w:tc>
      </w:tr>
      <w:tr>
        <w:tc>
          <w:tcPr/>
          <w:p>
            <w:pPr>
              <w:pStyle w:val="Compact"/>
              <w:jc w:val="left"/>
            </w:pPr>
            <w:r>
              <w:t xml:space="preserve">TOTAL AMOUNT DUE</w:t>
            </w:r>
          </w:p>
        </w:tc>
        <w:tc>
          <w:tcPr/>
          <w:p>
            <w:pPr>
              <w:pStyle w:val="Compact"/>
              <w:jc w:val="right"/>
            </w:pPr>
            <w:r>
              <w:t xml:space="preserve">R 488,290.00</w:t>
            </w:r>
          </w:p>
        </w:tc>
      </w:tr>
    </w:tbl>
    <w:p>
      <w:pPr>
        <w:pStyle w:val="BodyText"/>
      </w:pPr>
      <w:r>
        <w:t xml:space="preserve">* All amounts are quoted in South African Rand (ZAR). VAT is calculated at the standard rate of 15% as prescribed by the South African Revenue Service (SARS). This Invoice is valid for 30 days from the date of issue.</w:t>
      </w:r>
    </w:p>
    <w:bookmarkEnd w:id="23"/>
    <w:bookmarkStart w:id="24" w:name="terms-conditions-of-this-invoice"/>
    <w:p>
      <w:pPr>
        <w:pStyle w:val="Heading3"/>
      </w:pPr>
      <w:r>
        <w:t xml:space="preserve">Terms &amp; Conditions of This Invoice</w:t>
      </w:r>
    </w:p>
    <w:p>
      <w:pPr>
        <w:numPr>
          <w:ilvl w:val="0"/>
          <w:numId w:val="1001"/>
        </w:numPr>
        <w:pStyle w:val="Compact"/>
      </w:pPr>
      <w:r>
        <w:rPr>
          <w:bCs/>
          <w:b/>
        </w:rPr>
        <w:t xml:space="preserve">Payment Due Date:</w:t>
      </w:r>
      <w:r>
        <w:t xml:space="preserve"> </w:t>
      </w:r>
      <w:r>
        <w:t xml:space="preserve">The full amount of R 488,290.00 (inclusive of VAT) is due within thirty (30) calendar days from the Invoice date of 15 June 2025. Payment must be received no later than 15 July 2025.</w:t>
      </w:r>
    </w:p>
    <w:p>
      <w:pPr>
        <w:numPr>
          <w:ilvl w:val="0"/>
          <w:numId w:val="1001"/>
        </w:numPr>
        <w:pStyle w:val="Compact"/>
      </w:pPr>
      <w:r>
        <w:rPr>
          <w:bCs/>
          <w:b/>
        </w:rPr>
        <w:t xml:space="preserve">Payment Method:</w:t>
      </w:r>
      <w:r>
        <w:t xml:space="preserve"> </w:t>
      </w:r>
      <w:r>
        <w:t xml:space="preserve">Payment shall be made via electronic funds transfer (EFT) to the FNB account details specified above. Please reference the Invoice number INV-2025-CT-0047 on all payments to ensure accurate reconciliation.</w:t>
      </w:r>
    </w:p>
    <w:p>
      <w:pPr>
        <w:numPr>
          <w:ilvl w:val="0"/>
          <w:numId w:val="1001"/>
        </w:numPr>
        <w:pStyle w:val="Compact"/>
      </w:pPr>
      <w:r>
        <w:rPr>
          <w:bCs/>
          <w:b/>
        </w:rPr>
        <w:t xml:space="preserve">Late Payment:</w:t>
      </w:r>
      <w:r>
        <w:t xml:space="preserve"> </w:t>
      </w:r>
      <w:r>
        <w:t xml:space="preserve">In the event that payment is not received by the due date, interest will accrue at the rate of 1.5% per month (18% per annum) on the outstanding balance, in accordance with the Late Payment of Interest Act 3 of 2003 applicable in South Africa.</w:t>
      </w:r>
    </w:p>
    <w:p>
      <w:pPr>
        <w:numPr>
          <w:ilvl w:val="0"/>
          <w:numId w:val="1001"/>
        </w:numPr>
        <w:pStyle w:val="Compact"/>
      </w:pPr>
      <w:r>
        <w:rPr>
          <w:bCs/>
          <w:b/>
        </w:rPr>
        <w:t xml:space="preserve">Scope of Services:</w:t>
      </w:r>
      <w:r>
        <w:t xml:space="preserve"> </w:t>
      </w:r>
      <w:r>
        <w:t xml:space="preserve">This Invoice covers the Business Consultant services as itemized above, rendered during the period of March 2025 to June 2025. Any additional services requested outside the original engagement scope will be invoiced separately upon written approval by the client.</w:t>
      </w:r>
    </w:p>
    <w:p>
      <w:pPr>
        <w:numPr>
          <w:ilvl w:val="0"/>
          <w:numId w:val="1001"/>
        </w:numPr>
        <w:pStyle w:val="Compact"/>
      </w:pPr>
      <w:r>
        <w:rPr>
          <w:bCs/>
          <w:b/>
        </w:rPr>
        <w:t xml:space="preserve">Disputes:</w:t>
      </w:r>
      <w:r>
        <w:t xml:space="preserve"> </w:t>
      </w:r>
      <w:r>
        <w:t xml:space="preserve">Any disputes regarding this Invoice or the services rendered must be raised in writing within fourteen (14) days of the Invoice date. Failure to raise a dispute within this period shall constitute acceptance of the Invoice and the services described herein.</w:t>
      </w:r>
    </w:p>
    <w:p>
      <w:pPr>
        <w:numPr>
          <w:ilvl w:val="0"/>
          <w:numId w:val="1001"/>
        </w:numPr>
        <w:pStyle w:val="Compact"/>
      </w:pPr>
      <w:r>
        <w:rPr>
          <w:bCs/>
          <w:b/>
        </w:rPr>
        <w:t xml:space="preserve">Governing Law:</w:t>
      </w:r>
      <w:r>
        <w:t xml:space="preserve"> </w:t>
      </w:r>
      <w:r>
        <w:t xml:space="preserve">This Invoice and the underlying service agreement are governed by the laws of the Republic of South Africa. Any legal disputes shall be subject to the exclusive jurisdiction of the High Court of South Africa, Cape Town Division.</w:t>
      </w:r>
    </w:p>
    <w:p>
      <w:pPr>
        <w:numPr>
          <w:ilvl w:val="0"/>
          <w:numId w:val="1001"/>
        </w:numPr>
        <w:pStyle w:val="Compact"/>
      </w:pPr>
      <w:r>
        <w:rPr>
          <w:bCs/>
          <w:b/>
        </w:rPr>
        <w:t xml:space="preserve">Confidentiality:</w:t>
      </w:r>
      <w:r>
        <w:t xml:space="preserve"> </w:t>
      </w:r>
      <w:r>
        <w:t xml:space="preserve">All information exchanged during the Business Consultant engagement is subject to the Non-Disclosure Agreement (NDA) executed on 1 February 2025 between both parties.</w:t>
      </w:r>
    </w:p>
    <w:p>
      <w:pPr>
        <w:numPr>
          <w:ilvl w:val="0"/>
          <w:numId w:val="1001"/>
        </w:numPr>
        <w:pStyle w:val="Compact"/>
      </w:pPr>
      <w:r>
        <w:rPr>
          <w:bCs/>
          <w:b/>
        </w:rPr>
        <w:t xml:space="preserve">Reimbursement:</w:t>
      </w:r>
      <w:r>
        <w:t xml:space="preserve"> </w:t>
      </w:r>
      <w:r>
        <w:t xml:space="preserve">Travel and accommodation expenses incurred by the Business Consultant while conducting on-site consultations in South Africa Cape Town are included in the rates specified above. No additional travel claims will be submitted for this engagement period.</w:t>
      </w:r>
    </w:p>
    <w:bookmarkEnd w:id="24"/>
    <w:bookmarkStart w:id="25" w:name="notes-additional-information"/>
    <w:p>
      <w:pPr>
        <w:pStyle w:val="Heading3"/>
      </w:pPr>
      <w:r>
        <w:t xml:space="preserve">Notes &amp; Additional Information</w:t>
      </w:r>
    </w:p>
    <w:p>
      <w:pPr>
        <w:pStyle w:val="FirstParagraph"/>
      </w:pPr>
      <w:r>
        <w:t xml:space="preserve">This Invoice has been issued by Strategic Advisory &amp; Consulting (Pty) Ltd, a registered Business Consultant firm operating from Cape Town, South Africa, in accordance with the requirements of the South African Revenue Service (SARS) and the National Credit Act. The services described herein were delivered by qualified and experienced Business Consultant professionals with over fifteen years of combined experience in strategic advisory, financial analysis, and organizational development within the South African business environment.</w:t>
      </w:r>
    </w:p>
    <w:p>
      <w:pPr>
        <w:pStyle w:val="BodyText"/>
      </w:pPr>
      <w:r>
        <w:t xml:space="preserve">The client is reminded that this Invoice represents the final settlement for all Business Consultant services rendered during the Q2 2025 engagement period. A separate Invoice will be issued for Q3 2025 services upon completion of the next billing cycle. Should the client require ongoing Business Consultant support beyond the current engagement, a revised service agreement and updated Invoice schedule will be provided for approval prior to the commencement of additional work.</w:t>
      </w:r>
    </w:p>
    <w:p>
      <w:pPr>
        <w:pStyle w:val="BodyText"/>
      </w:pPr>
      <w:r>
        <w:t xml:space="preserve">We thank Atlantic Ridge Holdings (Pty) Ltd for their continued trust in our Business Consultant services and look forward to a successful and productive partnership in South Africa Cape Town and beyond.</w:t>
      </w:r>
    </w:p>
    <w:bookmarkEnd w:id="25"/>
    <w:p>
      <w:pPr>
        <w:pStyle w:val="BodyText"/>
      </w:pPr>
      <w:r>
        <w:rPr>
          <w:bCs/>
          <w:b/>
        </w:rPr>
        <w:t xml:space="preserve">Strategic Advisory &amp; Consulting (Pty) Ltd</w:t>
      </w:r>
      <w:r>
        <w:t xml:space="preserve"> </w:t>
      </w:r>
      <w:r>
        <w:t xml:space="preserve">| 124 Bree Street, Cape Town Central, Cape Town, 8001, South Africa</w:t>
      </w:r>
    </w:p>
    <w:p>
      <w:pPr>
        <w:pStyle w:val="BodyText"/>
      </w:pPr>
      <w:r>
        <w:t xml:space="preserve">VAT Reg: 4930123456 | Company Reg: 2019/123456/07 | This is a computer-generated Invoice and does not require a signature.</w:t>
      </w:r>
    </w:p>
    <w:p>
      <w:pPr>
        <w:pStyle w:val="BodyText"/>
      </w:pPr>
      <w:r>
        <w:t xml:space="preserve">For queries regarding this Invoice, please contact our billing department at billing@strategicadvisory.co.za or +27 21 555 0142 (Monday to Friday, 08:00 – 17:00 SAST).</w:t>
      </w:r>
    </w:p>
    <w:p>
      <w:pPr>
        <w:pStyle w:val="BodyText"/>
      </w:pPr>
      <w:r>
        <w:t xml:space="preserve">© 2025 Strategic Advisory &amp; Consulting (Pty) Ltd. All rights reserved. This Invoice is the property of the issuing Business Consultant firm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South Africa Cape Town</dc:title>
  <dc:creator/>
  <dc:language>en</dc:language>
  <cp:keywords/>
  <dcterms:created xsi:type="dcterms:W3CDTF">2026-10-10T06:32:52Z</dcterms:created>
  <dcterms:modified xsi:type="dcterms:W3CDTF">2026-10-10T06:32:52Z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