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strategic-advisory-partners-s.l."/>
    <w:p>
      <w:pPr>
        <w:pStyle w:val="Heading1"/>
      </w:pPr>
      <w:r>
        <w:t xml:space="preserve">Strategic Advisory Partners S.L.</w:t>
      </w:r>
    </w:p>
    <w:p>
      <w:pPr>
        <w:pStyle w:val="FirstParagraph"/>
      </w:pPr>
      <w:r>
        <w:t xml:space="preserve">Calle de Serrano, 45, 3rd Floor</w:t>
      </w:r>
    </w:p>
    <w:p>
      <w:pPr>
        <w:pStyle w:val="BodyText"/>
      </w:pPr>
      <w:r>
        <w:t xml:space="preserve">28001 Madrid, Spain</w:t>
      </w:r>
    </w:p>
    <w:p>
      <w:pPr>
        <w:pStyle w:val="BodyText"/>
      </w:pPr>
      <w:r>
        <w:t xml:space="preserve">CIF: B-87654321</w:t>
      </w:r>
    </w:p>
    <w:p>
      <w:pPr>
        <w:pStyle w:val="BodyText"/>
      </w:pPr>
      <w:r>
        <w:t xml:space="preserve">Phone: +34 91 555 1234</w:t>
      </w:r>
    </w:p>
    <w:p>
      <w:pPr>
        <w:pStyle w:val="BodyText"/>
      </w:pPr>
      <w:r>
        <w:t xml:space="preserve">Email: billing@strategicadvisory.es</w:t>
      </w:r>
    </w:p>
    <w:p>
      <w:pPr>
        <w:pStyle w:val="BodyText"/>
      </w:pPr>
      <w:r>
        <w:t xml:space="preserve">Web: www.strategicadvisory.es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INV-2025-00347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May 2025 – 31 May 2025</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Meridian Technologies Iberia S.A.</w:t>
      </w:r>
    </w:p>
    <w:p>
      <w:pPr>
        <w:pStyle w:val="BodyText"/>
      </w:pPr>
      <w:r>
        <w:t xml:space="preserve">Attn: Mr. Carlos Vega, Chief Operating Officer</w:t>
      </w:r>
    </w:p>
    <w:p>
      <w:pPr>
        <w:pStyle w:val="BodyText"/>
      </w:pPr>
      <w:r>
        <w:t xml:space="preserve">Paseo de la Castellana, 120</w:t>
      </w:r>
    </w:p>
    <w:p>
      <w:pPr>
        <w:pStyle w:val="BodyText"/>
      </w:pPr>
      <w:r>
        <w:t xml:space="preserve">28046 Madrid, Spain</w:t>
      </w:r>
    </w:p>
    <w:p>
      <w:pPr>
        <w:pStyle w:val="BodyText"/>
      </w:pPr>
      <w:r>
        <w:t xml:space="preserve">CIF: A-98765432</w:t>
      </w:r>
    </w:p>
    <w:p>
      <w:pPr>
        <w:pStyle w:val="BodyText"/>
      </w:pPr>
      <w:r>
        <w:t xml:space="preserve">Email: c.vega@meridiantech.es</w:t>
      </w:r>
    </w:p>
    <w:bookmarkEnd w:id="22"/>
    <w:bookmarkStart w:id="23" w:name="service-provider"/>
    <w:p>
      <w:pPr>
        <w:pStyle w:val="Heading3"/>
      </w:pPr>
      <w:r>
        <w:t xml:space="preserve">Service Provider</w:t>
      </w:r>
    </w:p>
    <w:p>
      <w:pPr>
        <w:pStyle w:val="FirstParagraph"/>
      </w:pPr>
      <w:r>
        <w:rPr>
          <w:bCs/>
          <w:b/>
        </w:rPr>
        <w:t xml:space="preserve">Strategic Advisory Partners S.L.</w:t>
      </w:r>
    </w:p>
    <w:p>
      <w:pPr>
        <w:pStyle w:val="BodyText"/>
      </w:pPr>
      <w:r>
        <w:t xml:space="preserve">Lead Business Consultant: Dr. Elena Martínez</w:t>
      </w:r>
    </w:p>
    <w:p>
      <w:pPr>
        <w:pStyle w:val="BodyText"/>
      </w:pPr>
      <w:r>
        <w:t xml:space="preserve">Calle de Serrano, 45, 3rd Floor</w:t>
      </w:r>
    </w:p>
    <w:p>
      <w:pPr>
        <w:pStyle w:val="BodyText"/>
      </w:pPr>
      <w:r>
        <w:t xml:space="preserve">28001 Madrid, Spain</w:t>
      </w:r>
    </w:p>
    <w:p>
      <w:pPr>
        <w:pStyle w:val="BodyText"/>
      </w:pPr>
      <w:r>
        <w:t xml:space="preserve">CIF: B-87654321</w:t>
      </w:r>
    </w:p>
    <w:p>
      <w:pPr>
        <w:pStyle w:val="BodyText"/>
      </w:pPr>
      <w:r>
        <w:t xml:space="preserve">Registered with the Madrid Chamber of Commerce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Business Consultant Services</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Strategic Business Planning &amp; Market Analysis – Comprehensive assessment of the client's operational framework within the Spain Madrid metropolitan business ecosystem, including competitive landscape analysis and SWOT evaluation.</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Organizational Restructuring Advisory – On-site Business Consultant engagement at the client's Madrid headquarters to redesign departmental workflows, optimize reporting hierarchies, and implement lean management protocols.</w:t>
            </w:r>
          </w:p>
        </w:tc>
        <w:tc>
          <w:tcPr/>
          <w:p>
            <w:pPr>
              <w:pStyle w:val="Compact"/>
              <w:jc w:val="left"/>
            </w:pPr>
            <w:r>
              <w:t xml:space="preserve">32 hours</w:t>
            </w:r>
          </w:p>
        </w:tc>
        <w:tc>
          <w:tcPr/>
          <w:p>
            <w:pPr>
              <w:pStyle w:val="Compact"/>
              <w:jc w:val="left"/>
            </w:pPr>
            <w:r>
              <w:t xml:space="preserve">€120.00</w:t>
            </w:r>
          </w:p>
        </w:tc>
        <w:tc>
          <w:tcPr/>
          <w:p>
            <w:pPr>
              <w:pStyle w:val="Compact"/>
              <w:jc w:val="left"/>
            </w:pPr>
            <w:r>
              <w:t xml:space="preserve">€3,840.00</w:t>
            </w:r>
          </w:p>
        </w:tc>
      </w:tr>
      <w:tr>
        <w:tc>
          <w:tcPr/>
          <w:p>
            <w:pPr>
              <w:pStyle w:val="Compact"/>
              <w:jc w:val="left"/>
            </w:pPr>
            <w:r>
              <w:t xml:space="preserve">03</w:t>
            </w:r>
          </w:p>
        </w:tc>
        <w:tc>
          <w:tcPr/>
          <w:p>
            <w:pPr>
              <w:pStyle w:val="Compact"/>
              <w:jc w:val="left"/>
            </w:pPr>
            <w:r>
              <w:t xml:space="preserve">Digital Transformation Roadmap – Development of a 24-month technology integration strategy tailored to the client's manufacturing operations, including vendor selection criteria and phased implementation timelines.</w:t>
            </w:r>
          </w:p>
        </w:tc>
        <w:tc>
          <w:tcPr/>
          <w:p>
            <w:pPr>
              <w:pStyle w:val="Compact"/>
              <w:jc w:val="left"/>
            </w:pPr>
            <w:r>
              <w:t xml:space="preserve">24 hours</w:t>
            </w:r>
          </w:p>
        </w:tc>
        <w:tc>
          <w:tcPr/>
          <w:p>
            <w:pPr>
              <w:pStyle w:val="Compact"/>
              <w:jc w:val="left"/>
            </w:pPr>
            <w:r>
              <w:t xml:space="preserve">€135.00</w:t>
            </w:r>
          </w:p>
        </w:tc>
        <w:tc>
          <w:tcPr/>
          <w:p>
            <w:pPr>
              <w:pStyle w:val="Compact"/>
              <w:jc w:val="left"/>
            </w:pPr>
            <w:r>
              <w:t xml:space="preserve">€3,240.00</w:t>
            </w:r>
          </w:p>
        </w:tc>
      </w:tr>
      <w:tr>
        <w:tc>
          <w:tcPr/>
          <w:p>
            <w:pPr>
              <w:pStyle w:val="Compact"/>
              <w:jc w:val="left"/>
            </w:pPr>
            <w:r>
              <w:t xml:space="preserve">04</w:t>
            </w:r>
          </w:p>
        </w:tc>
        <w:tc>
          <w:tcPr/>
          <w:p>
            <w:pPr>
              <w:pStyle w:val="Compact"/>
              <w:jc w:val="left"/>
            </w:pPr>
            <w:r>
              <w:t xml:space="preserve">Executive Leadership Training &amp; Workshops – Facilitation of four half-day workshops for senior management teams in Madrid, covering change management, stakeholder communication, and performance KPI design.</w:t>
            </w:r>
          </w:p>
        </w:tc>
        <w:tc>
          <w:tcPr/>
          <w:p>
            <w:pPr>
              <w:pStyle w:val="Compact"/>
              <w:jc w:val="left"/>
            </w:pPr>
            <w:r>
              <w:t xml:space="preserve">16 hours</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Regulatory Compliance Review – Analysis of the client's adherence to Spanish commercial law, EU data protection regulations (GDPR), and local Madrid municipal business licensing requirements.</w:t>
            </w:r>
          </w:p>
        </w:tc>
        <w:tc>
          <w:tcPr/>
          <w:p>
            <w:pPr>
              <w:pStyle w:val="Compact"/>
              <w:jc w:val="left"/>
            </w:pPr>
            <w:r>
              <w:t xml:space="preserve">12 hours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06</w:t>
            </w:r>
          </w:p>
        </w:tc>
        <w:tc>
          <w:tcPr/>
          <w:p>
            <w:pPr>
              <w:pStyle w:val="Compact"/>
              <w:jc w:val="left"/>
            </w:pPr>
            <w:r>
              <w:t xml:space="preserve">Monthly Progress Reporting &amp; Ongoing Advisory – Preparation of detailed monthly performance reports, follow-up consultations, and availability for ad-hoc Business Consultant guidance throughout the service period.</w:t>
            </w:r>
          </w:p>
        </w:tc>
        <w:tc>
          <w:tcPr/>
          <w:p>
            <w:pPr>
              <w:pStyle w:val="Compact"/>
              <w:jc w:val="left"/>
            </w:pPr>
            <w:r>
              <w:t xml:space="preserve">8 hours</w:t>
            </w:r>
          </w:p>
        </w:tc>
        <w:tc>
          <w:tcPr/>
          <w:p>
            <w:pPr>
              <w:pStyle w:val="Compact"/>
              <w:jc w:val="left"/>
            </w:pPr>
            <w:r>
              <w:t xml:space="preserve">€110.00</w:t>
            </w:r>
          </w:p>
        </w:tc>
        <w:tc>
          <w:tcPr/>
          <w:p>
            <w:pPr>
              <w:pStyle w:val="Compact"/>
              <w:jc w:val="left"/>
            </w:pPr>
            <w:r>
              <w:t xml:space="preserve">€880.00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€16,600.00</w:t>
            </w:r>
          </w:p>
        </w:tc>
      </w:tr>
      <w:tr>
        <w:tc>
          <w:tcPr/>
          <w:p>
            <w:pPr>
              <w:pStyle w:val="Compact"/>
              <w:jc w:val="left"/>
            </w:pPr>
            <w:r>
              <w:t xml:space="preserve">VAT (IVA) – 21% (Spain)</w:t>
            </w:r>
          </w:p>
        </w:tc>
        <w:tc>
          <w:tcPr/>
          <w:p>
            <w:pPr>
              <w:pStyle w:val="Compact"/>
              <w:jc w:val="right"/>
            </w:pPr>
            <w:r>
              <w:t xml:space="preserve">€3,486.00</w:t>
            </w:r>
          </w:p>
        </w:tc>
      </w:tr>
      <w:tr>
        <w:tc>
          <w:tcPr/>
          <w:p>
            <w:pPr>
              <w:pStyle w:val="Compact"/>
              <w:jc w:val="left"/>
            </w:pPr>
            <w:r>
              <w:t xml:space="preserve">TOTAL AMOUNT DUE</w:t>
            </w:r>
          </w:p>
        </w:tc>
        <w:tc>
          <w:tcPr/>
          <w:p>
            <w:pPr>
              <w:pStyle w:val="Compact"/>
              <w:jc w:val="right"/>
            </w:pPr>
            <w:r>
              <w:t xml:space="preserve">€20,086.00</w:t>
            </w:r>
          </w:p>
        </w:tc>
      </w:tr>
    </w:tbl>
    <w:bookmarkStart w:id="24" w:name="payment-terms-important-notes"/>
    <w:p>
      <w:pPr>
        <w:pStyle w:val="Heading3"/>
      </w:pPr>
      <w:r>
        <w:t xml:space="preserve">Payment Terms &amp; Important Notes</w:t>
      </w:r>
    </w:p>
    <w:p>
      <w:pPr>
        <w:numPr>
          <w:ilvl w:val="0"/>
          <w:numId w:val="1001"/>
        </w:numPr>
        <w:pStyle w:val="Compact"/>
      </w:pPr>
      <w:r>
        <w:rPr>
          <w:bCs/>
          <w:b/>
        </w:rPr>
        <w:t xml:space="preserve">Payment Method:</w:t>
      </w:r>
      <w:r>
        <w:t xml:space="preserve"> </w:t>
      </w:r>
      <w:r>
        <w:t xml:space="preserve">Bank transfer (Transferencia Bancaria) to the account below. Please reference Invoice No. INV-2025-00347 in the transfer description.</w:t>
      </w:r>
    </w:p>
    <w:p>
      <w:pPr>
        <w:numPr>
          <w:ilvl w:val="0"/>
          <w:numId w:val="1001"/>
        </w:numPr>
        <w:pStyle w:val="Compact"/>
      </w:pPr>
      <w:r>
        <w:rPr>
          <w:bCs/>
          <w:b/>
        </w:rPr>
        <w:t xml:space="preserve">Bank Details:</w:t>
      </w:r>
      <w:r>
        <w:t xml:space="preserve"> </w:t>
      </w:r>
      <w:r>
        <w:t xml:space="preserve">IBAN: ES91 2100 0418 4502 0005 1332 | BIC/SWIFT: CAIXESBBXXX | Bank: CaixaBank S.A., Madrid Branch</w:t>
      </w:r>
    </w:p>
    <w:p>
      <w:pPr>
        <w:numPr>
          <w:ilvl w:val="0"/>
          <w:numId w:val="1001"/>
        </w:numPr>
        <w:pStyle w:val="Compact"/>
      </w:pPr>
      <w:r>
        <w:rPr>
          <w:bCs/>
          <w:b/>
        </w:rPr>
        <w:t xml:space="preserve">Due Date:</w:t>
      </w:r>
      <w:r>
        <w:t xml:space="preserve"> </w:t>
      </w:r>
      <w:r>
        <w:t xml:space="preserve">Payment is due within 30 calendar days from the issue date of this Invoice, i.e., no later than 15 July 2025, in accordance with the commercial terms agreed upon in the Master Services Contract dated 1 April 2025.</w:t>
      </w:r>
    </w:p>
    <w:p>
      <w:pPr>
        <w:numPr>
          <w:ilvl w:val="0"/>
          <w:numId w:val="1001"/>
        </w:numPr>
        <w:pStyle w:val="Compact"/>
      </w:pPr>
      <w:r>
        <w:rPr>
          <w:bCs/>
          <w:b/>
        </w:rPr>
        <w:t xml:space="preserve">Late Payment:</w:t>
      </w:r>
      <w:r>
        <w:t xml:space="preserve"> </w:t>
      </w:r>
      <w:r>
        <w:t xml:space="preserve">In the event of non-payment by the due date, interest at the rate established under Article 20 of the Spanish Late Payment Directive (Ley 3/2004) shall apply, calculated from the day following the due date until full settlement.</w:t>
      </w:r>
    </w:p>
    <w:p>
      <w:pPr>
        <w:numPr>
          <w:ilvl w:val="0"/>
          <w:numId w:val="1001"/>
        </w:numPr>
        <w:pStyle w:val="Compact"/>
      </w:pPr>
      <w:r>
        <w:rPr>
          <w:bCs/>
          <w:b/>
        </w:rPr>
        <w:t xml:space="preserve">Tax Information:</w:t>
      </w:r>
      <w:r>
        <w:t xml:space="preserve"> </w:t>
      </w:r>
      <w:r>
        <w:t xml:space="preserve">This Invoice is issued in compliance with the Spanish Tax Agency (Agencia Tributaria) regulations and the applicable Value Added Tax (IVA) rate of 21% as governed by the Ley 37/1992 del Impuesto sobre el Valor Añadido. The Business Consultant services rendered are classified under CNAE code 7022 (Management Consulting Activities).</w:t>
      </w:r>
    </w:p>
    <w:p>
      <w:pPr>
        <w:numPr>
          <w:ilvl w:val="0"/>
          <w:numId w:val="1001"/>
        </w:numPr>
        <w:pStyle w:val="Compact"/>
      </w:pPr>
      <w:r>
        <w:rPr>
          <w:bCs/>
          <w:b/>
        </w:rPr>
        <w:t xml:space="preserve">Dispute Resolution:</w:t>
      </w:r>
      <w:r>
        <w:t xml:space="preserve"> </w:t>
      </w:r>
      <w:r>
        <w:t xml:space="preserve">Any disputes arising from this Invoice or the associated Business Consultant engagement shall be resolved through the competent courts of Madrid, Spain, in accordance with Spanish civil and commercial law.</w:t>
      </w:r>
    </w:p>
    <w:bookmarkEnd w:id="24"/>
    <w:p>
      <w:pPr>
        <w:pStyle w:val="FirstParagraph"/>
      </w:pPr>
      <w:r>
        <w:rPr>
          <w:bCs/>
          <w:b/>
        </w:rPr>
        <w:t xml:space="preserve">Legal Notice:</w:t>
      </w:r>
      <w:r>
        <w:t xml:space="preserve"> </w:t>
      </w:r>
      <w:r>
        <w:t xml:space="preserve">This Invoice constitutes a formal request for payment for Business Consultant professional services rendered by Strategic Advisory Partners S.L. in the city of Madrid, Spain. The services described herein were performed in accordance with the scope of work defined in the signed engagement letter. All intellectual property generated during the course of this Business Consultant engagement remains the property of Strategic Advisory Partners S.L. unless otherwise stipulated in the Master Services Contract.</w:t>
      </w:r>
    </w:p>
    <w:p>
      <w:pPr>
        <w:pStyle w:val="BodyText"/>
      </w:pPr>
      <w:r>
        <w:rPr>
          <w:bCs/>
          <w:b/>
        </w:rPr>
        <w:t xml:space="preserve">Applicable Jurisdiction:</w:t>
      </w:r>
      <w:r>
        <w:t xml:space="preserve"> </w:t>
      </w:r>
      <w:r>
        <w:t xml:space="preserve">This Invoice and the underlying service agreement are governed by the laws of the Kingdom of Spain, with specific reference to the commercial regulations applicable in the Community of Madrid. The parties agree that any legal proceedings shall be subject to the exclusive jurisdiction of the courts of Madrid, Spain.</w:t>
      </w:r>
    </w:p>
    <w:p>
      <w:pPr>
        <w:pStyle w:val="BodyText"/>
      </w:pPr>
      <w:r>
        <w:rPr>
          <w:bCs/>
          <w:b/>
        </w:rPr>
        <w:t xml:space="preserve">Electronic Invoice Compliance:</w:t>
      </w:r>
      <w:r>
        <w:t xml:space="preserve"> </w:t>
      </w:r>
      <w:r>
        <w:t xml:space="preserve">This document is issued as an electronic Invoice in compliance with the Spanish electronic invoicing framework (Factura Electrónica) and the requirements set forth by the Agencia Tributaria for businesses operating in Spain Madrid and throughout the national territory.</w:t>
      </w:r>
    </w:p>
    <w:p>
      <w:pPr>
        <w:pStyle w:val="BodyText"/>
      </w:pPr>
      <w:r>
        <w:rPr>
          <w:bCs/>
          <w:b/>
        </w:rPr>
        <w:t xml:space="preserve">Confidentiality:</w:t>
      </w:r>
      <w:r>
        <w:t xml:space="preserve"> </w:t>
      </w:r>
      <w:r>
        <w:t xml:space="preserve">All information contained in this Invoice, including the nature of the Business Consultant services provided, the financial terms, and the client's operational details, is strictly confidential and shall not be disclosed to third parties without prior written consent from both parties, in accordance with the Non-Disclosure Agreement executed on 1 April 2025.</w:t>
      </w:r>
    </w:p>
    <w:p>
      <w:pPr>
        <w:pStyle w:val="BodyText"/>
      </w:pPr>
      <w:r>
        <w:t xml:space="preserve">Strategic Advisory Partners S.L. | Registered in the Mercantile Registry of Madrid, Volume 4,521, Folio 88, Sheet M-312,456</w:t>
      </w:r>
    </w:p>
    <w:p>
      <w:pPr>
        <w:pStyle w:val="BodyText"/>
      </w:pPr>
      <w:r>
        <w:t xml:space="preserve">CIF: B-87654321 | VAT ID: ESB87654321 | Social Security Registration: 28/28456789</w:t>
      </w:r>
    </w:p>
    <w:p>
      <w:pPr>
        <w:pStyle w:val="BodyText"/>
      </w:pPr>
      <w:r>
        <w:t xml:space="preserve">This Invoice was generated electronically on 15 June 2025. For queries regarding this Invoice, please contact our billing department at billing@strategicadvisory.es or +34 91 555 1234.</w:t>
      </w:r>
    </w:p>
    <w:p>
      <w:pPr>
        <w:pStyle w:val="BodyText"/>
      </w:pPr>
      <w:r>
        <w:t xml:space="preserve">Thank you for engaging our Business Consultant services. We value our partnership and look forward to continuing to support your business growth in Spain Madrid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Spain Madrid</dc:title>
  <dc:creator/>
  <dc:language>en</dc:language>
  <cp:keywords/>
  <dcterms:created xsi:type="dcterms:W3CDTF">2026-10-10T01:22:50Z</dcterms:created>
  <dcterms:modified xsi:type="dcterms:W3CDTF">2026-10-10T01:22:50Z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