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business-consulting-ltd."/>
    <w:p>
      <w:pPr>
        <w:pStyle w:val="Heading1"/>
      </w:pPr>
      <w:r>
        <w:t xml:space="preserve">Meridian Business Consulting Ltd.</w:t>
      </w:r>
    </w:p>
    <w:p>
      <w:pPr>
        <w:pStyle w:val="FirstParagraph"/>
      </w:pPr>
      <w:r>
        <w:t xml:space="preserve">Business Consultant Services</w:t>
      </w:r>
    </w:p>
    <w:p>
      <w:pPr>
        <w:pStyle w:val="BodyText"/>
      </w:pPr>
      <w:r>
        <w:t xml:space="preserve">Levent Avenue, No. 42, Suite 810</w:t>
      </w:r>
    </w:p>
    <w:p>
      <w:pPr>
        <w:pStyle w:val="BodyText"/>
      </w:pPr>
      <w:r>
        <w:t xml:space="preserve">34330 Istanbul, Turkey</w:t>
      </w:r>
    </w:p>
    <w:p>
      <w:pPr>
        <w:pStyle w:val="BodyText"/>
      </w:pPr>
      <w:r>
        <w:t xml:space="preserve">Tax ID (VKN): 1234567890</w:t>
      </w:r>
    </w:p>
    <w:p>
      <w:pPr>
        <w:pStyle w:val="BodyText"/>
      </w:pPr>
      <w:r>
        <w:t xml:space="preserve">Phone: +90 212 555 0142</w:t>
      </w:r>
    </w:p>
    <w:p>
      <w:pPr>
        <w:pStyle w:val="BodyText"/>
      </w:pPr>
      <w:r>
        <w:t xml:space="preserve">Email: billing@meridianconsulting.com.tr</w:t>
      </w:r>
    </w:p>
    <w:bookmarkEnd w:id="20"/>
    <w:bookmarkStart w:id="21" w:name="invoice"/>
    <w:p>
      <w:pPr>
        <w:pStyle w:val="Heading2"/>
      </w:pPr>
      <w:r>
        <w:t xml:space="preserve">INVOICE</w:t>
      </w:r>
    </w:p>
    <w:p>
      <w:pPr>
        <w:pStyle w:val="FirstParagraph"/>
      </w:pPr>
      <w:r>
        <w:t xml:space="preserve">Invoice No: MC-2025-00487</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Anadolu Teknoloji A.Ş.</w:t>
      </w:r>
    </w:p>
    <w:p>
      <w:pPr>
        <w:pStyle w:val="BodyText"/>
      </w:pPr>
      <w:r>
        <w:t xml:space="preserve">Attn: Mr. Kerem Yılmaz, CFO</w:t>
      </w:r>
    </w:p>
    <w:p>
      <w:pPr>
        <w:pStyle w:val="BodyText"/>
      </w:pPr>
      <w:r>
        <w:t xml:space="preserve">Atatürk Boulevard, No. 118, Floor 5</w:t>
      </w:r>
    </w:p>
    <w:p>
      <w:pPr>
        <w:pStyle w:val="BodyText"/>
      </w:pPr>
      <w:r>
        <w:t xml:space="preserve">34710 Istanbul, Turkey</w:t>
      </w:r>
    </w:p>
    <w:p>
      <w:pPr>
        <w:pStyle w:val="BodyText"/>
      </w:pPr>
      <w:r>
        <w:t xml:space="preserve">Tax ID (VKN): 9876543210</w:t>
      </w:r>
    </w:p>
    <w:bookmarkEnd w:id="22"/>
    <w:bookmarkStart w:id="23" w:name="project-reference"/>
    <w:p>
      <w:pPr>
        <w:pStyle w:val="Heading3"/>
      </w:pPr>
      <w:r>
        <w:t xml:space="preserve">Project Reference</w:t>
      </w:r>
    </w:p>
    <w:p>
      <w:pPr>
        <w:pStyle w:val="FirstParagraph"/>
      </w:pPr>
      <w:r>
        <w:t xml:space="preserve">Strategic Growth Advisory</w:t>
      </w:r>
    </w:p>
    <w:p>
      <w:pPr>
        <w:pStyle w:val="BodyText"/>
      </w:pPr>
      <w:r>
        <w:t xml:space="preserve">Contract No: AG-2025-019</w:t>
      </w:r>
    </w:p>
    <w:p>
      <w:pPr>
        <w:pStyle w:val="BodyText"/>
      </w:pPr>
      <w:r>
        <w:t xml:space="preserve">Service Period: 01 May 2025 – 31 May 2025</w:t>
      </w:r>
    </w:p>
    <w:p>
      <w:pPr>
        <w:pStyle w:val="BodyText"/>
      </w:pPr>
      <w:r>
        <w:t xml:space="preserve">Location: Istanbul, Turkey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Strategic Business Planning &amp; Market Analysis – Senior Business Consultant on-site engagement in Istanbul, Turkey. Comprehensive review of market positioning, competitor landscape, and growth trajectory for the fiscal year 2025–2026.</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Operational Efficiency Audit – Business Consultant conducted a full operational audit across all Istanbul-based facilities. Included process mapping, bottleneck identification, and implementation roadmap for lean operations.</w:t>
            </w:r>
          </w:p>
        </w:tc>
        <w:tc>
          <w:tcPr/>
          <w:p>
            <w:pPr>
              <w:pStyle w:val="Compact"/>
              <w:jc w:val="left"/>
            </w:pPr>
            <w:r>
              <w:t xml:space="preserve">32</w:t>
            </w:r>
          </w:p>
        </w:tc>
        <w:tc>
          <w:tcPr/>
          <w:p>
            <w:pPr>
              <w:pStyle w:val="Compact"/>
              <w:jc w:val="left"/>
            </w:pPr>
            <w:r>
              <w:t xml:space="preserve">2,500.00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Financial Restructuring Advisory – Senior Business Consultant provided expert guidance on capital allocation, debt restructuring, and cash flow optimization. Delivered a 45-page financial model tailored to Turkish regulatory requirements.</w:t>
            </w:r>
          </w:p>
        </w:tc>
        <w:tc>
          <w:tcPr/>
          <w:p>
            <w:pPr>
              <w:pStyle w:val="Compact"/>
              <w:jc w:val="left"/>
            </w:pPr>
            <w:r>
              <w:t xml:space="preserve">24</w:t>
            </w:r>
          </w:p>
        </w:tc>
        <w:tc>
          <w:tcPr/>
          <w:p>
            <w:pPr>
              <w:pStyle w:val="Compact"/>
              <w:jc w:val="left"/>
            </w:pPr>
            <w:r>
              <w:t xml:space="preserve">3,000.00</w:t>
            </w:r>
          </w:p>
        </w:tc>
        <w:tc>
          <w:tcPr/>
          <w:p>
            <w:pPr>
              <w:pStyle w:val="Compact"/>
              <w:jc w:val="left"/>
            </w:pPr>
            <w:r>
              <w:t xml:space="preserve">72,000.00</w:t>
            </w:r>
          </w:p>
        </w:tc>
      </w:tr>
      <w:tr>
        <w:tc>
          <w:tcPr/>
          <w:p>
            <w:pPr>
              <w:pStyle w:val="Compact"/>
              <w:jc w:val="left"/>
            </w:pPr>
            <w:r>
              <w:t xml:space="preserve">4</w:t>
            </w:r>
          </w:p>
        </w:tc>
        <w:tc>
          <w:tcPr/>
          <w:p>
            <w:pPr>
              <w:pStyle w:val="Compact"/>
              <w:jc w:val="left"/>
            </w:pPr>
            <w:r>
              <w:t xml:space="preserve">Leadership &amp; Organizational Development Workshop – Business Consultant facilitated a two-day executive workshop in Istanbul, Turkey, focusing on leadership succession planning, team alignment, and corporate culture transformation.</w:t>
            </w:r>
          </w:p>
        </w:tc>
        <w:tc>
          <w:tcPr/>
          <w:p>
            <w:pPr>
              <w:pStyle w:val="Compact"/>
              <w:jc w:val="left"/>
            </w:pPr>
            <w:r>
              <w:t xml:space="preserve">16</w:t>
            </w:r>
          </w:p>
        </w:tc>
        <w:tc>
          <w:tcPr/>
          <w:p>
            <w:pPr>
              <w:pStyle w:val="Compact"/>
              <w:jc w:val="left"/>
            </w:pPr>
            <w:r>
              <w:t xml:space="preserve">3,000.00</w:t>
            </w:r>
          </w:p>
        </w:tc>
        <w:tc>
          <w:tcPr/>
          <w:p>
            <w:pPr>
              <w:pStyle w:val="Compact"/>
              <w:jc w:val="left"/>
            </w:pPr>
            <w:r>
              <w:t xml:space="preserve">48,000.00</w:t>
            </w:r>
          </w:p>
        </w:tc>
      </w:tr>
      <w:tr>
        <w:tc>
          <w:tcPr/>
          <w:p>
            <w:pPr>
              <w:pStyle w:val="Compact"/>
              <w:jc w:val="left"/>
            </w:pPr>
            <w:r>
              <w:t xml:space="preserve">5</w:t>
            </w:r>
          </w:p>
        </w:tc>
        <w:tc>
          <w:tcPr/>
          <w:p>
            <w:pPr>
              <w:pStyle w:val="Compact"/>
              <w:jc w:val="left"/>
            </w:pPr>
            <w:r>
              <w:t xml:space="preserve">Digital Transformation Roadmap – Business Consultant developed a 12-month digital transformation strategy including technology stack recommendations, vendor selection criteria, and phased implementation timeline for the Istanbul headquarters.</w:t>
            </w:r>
          </w:p>
        </w:tc>
        <w:tc>
          <w:tcPr/>
          <w:p>
            <w:pPr>
              <w:pStyle w:val="Compact"/>
              <w:jc w:val="left"/>
            </w:pPr>
            <w:r>
              <w:t xml:space="preserve">20</w:t>
            </w:r>
          </w:p>
        </w:tc>
        <w:tc>
          <w:tcPr/>
          <w:p>
            <w:pPr>
              <w:pStyle w:val="Compact"/>
              <w:jc w:val="left"/>
            </w:pPr>
            <w:r>
              <w:t xml:space="preserve">2,800.00</w:t>
            </w:r>
          </w:p>
        </w:tc>
        <w:tc>
          <w:tcPr/>
          <w:p>
            <w:pPr>
              <w:pStyle w:val="Compact"/>
              <w:jc w:val="left"/>
            </w:pPr>
            <w:r>
              <w:t xml:space="preserve">56,000.00</w:t>
            </w:r>
          </w:p>
        </w:tc>
      </w:tr>
      <w:tr>
        <w:tc>
          <w:tcPr/>
          <w:p>
            <w:pPr>
              <w:pStyle w:val="Compact"/>
              <w:jc w:val="left"/>
            </w:pPr>
            <w:r>
              <w:t xml:space="preserve">6</w:t>
            </w:r>
          </w:p>
        </w:tc>
        <w:tc>
          <w:tcPr/>
          <w:p>
            <w:pPr>
              <w:pStyle w:val="Compact"/>
              <w:jc w:val="left"/>
            </w:pPr>
            <w:r>
              <w:t xml:space="preserve">Regulatory Compliance &amp; Risk Assessment – Business Consultant reviewed all operational compliance with Turkish Commercial Code, KVKK data protection regulations, and sector-specific licensing requirements applicable in Istanbul, Turkey.</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386,000.00 TRY</w:t>
            </w:r>
          </w:p>
        </w:tc>
      </w:tr>
      <w:tr>
        <w:tc>
          <w:tcPr/>
          <w:p>
            <w:pPr>
              <w:pStyle w:val="Compact"/>
              <w:jc w:val="left"/>
            </w:pPr>
            <w:r>
              <w:t xml:space="preserve">VAT (KDV) – 20%</w:t>
            </w:r>
          </w:p>
        </w:tc>
        <w:tc>
          <w:tcPr/>
          <w:p>
            <w:pPr>
              <w:pStyle w:val="Compact"/>
              <w:jc w:val="left"/>
            </w:pPr>
            <w:r>
              <w:t xml:space="preserve">77,200.00 TRY</w:t>
            </w:r>
          </w:p>
        </w:tc>
      </w:tr>
      <w:tr>
        <w:tc>
          <w:tcPr/>
          <w:p>
            <w:pPr>
              <w:pStyle w:val="Compact"/>
              <w:jc w:val="left"/>
            </w:pPr>
            <w:r>
              <w:t xml:space="preserve">Withholding Tax (Stopaj) – 20%</w:t>
            </w:r>
          </w:p>
        </w:tc>
        <w:tc>
          <w:tcPr/>
          <w:p>
            <w:pPr>
              <w:pStyle w:val="Compact"/>
              <w:jc w:val="left"/>
            </w:pPr>
            <w:r>
              <w:t xml:space="preserve">(77,200.00) TRY</w:t>
            </w:r>
          </w:p>
        </w:tc>
      </w:tr>
      <w:tr>
        <w:tc>
          <w:tcPr/>
          <w:p>
            <w:pPr>
              <w:pStyle w:val="Compact"/>
              <w:jc w:val="left"/>
            </w:pPr>
            <w:r>
              <w:t xml:space="preserve">Grand Total Due</w:t>
            </w:r>
          </w:p>
        </w:tc>
        <w:tc>
          <w:tcPr/>
          <w:p>
            <w:pPr>
              <w:pStyle w:val="Compact"/>
              <w:jc w:val="left"/>
            </w:pPr>
            <w:r>
              <w:t xml:space="preserve">386,000.00 TRY</w:t>
            </w:r>
          </w:p>
        </w:tc>
      </w:tr>
    </w:tbl>
    <w:bookmarkStart w:id="24" w:name="payment-terms-instructions"/>
    <w:p>
      <w:pPr>
        <w:pStyle w:val="Heading3"/>
      </w:pPr>
      <w:r>
        <w:t xml:space="preserve">Payment Terms &amp; Instructions</w:t>
      </w:r>
    </w:p>
    <w:p>
      <w:pPr>
        <w:pStyle w:val="FirstParagraph"/>
      </w:pPr>
      <w:r>
        <w:t xml:space="preserve">This Invoice must be settled in full within 15 calendar days from the issue date, no later than 30 June 2025. Payment shall be made via bank transfer to the account below. Please reference Invoice No. MC-2025-00487 in the transfer memo.</w:t>
      </w:r>
    </w:p>
    <w:p>
      <w:pPr>
        <w:pStyle w:val="BodyText"/>
      </w:pPr>
      <w:r>
        <w:rPr>
          <w:bCs/>
          <w:b/>
        </w:rPr>
        <w:t xml:space="preserve">Bank:</w:t>
      </w:r>
      <w:r>
        <w:t xml:space="preserve"> </w:t>
      </w:r>
      <w:r>
        <w:t xml:space="preserve">İş Bankası A.Ş. – Istanbul Branch</w:t>
      </w:r>
    </w:p>
    <w:p>
      <w:pPr>
        <w:pStyle w:val="BodyText"/>
      </w:pPr>
      <w:r>
        <w:rPr>
          <w:bCs/>
          <w:b/>
        </w:rPr>
        <w:t xml:space="preserve">Account Name:</w:t>
      </w:r>
      <w:r>
        <w:t xml:space="preserve"> </w:t>
      </w:r>
      <w:r>
        <w:t xml:space="preserve">Meridian Business Consulting Ltd.</w:t>
      </w:r>
    </w:p>
    <w:p>
      <w:pPr>
        <w:pStyle w:val="BodyText"/>
      </w:pPr>
      <w:r>
        <w:rPr>
          <w:bCs/>
          <w:b/>
        </w:rPr>
        <w:t xml:space="preserve">IBAN:</w:t>
      </w:r>
      <w:r>
        <w:t xml:space="preserve"> </w:t>
      </w:r>
      <w:r>
        <w:t xml:space="preserve">TR12 0006 4000 0011 2345 6789 01</w:t>
      </w:r>
    </w:p>
    <w:p>
      <w:pPr>
        <w:pStyle w:val="BodyText"/>
      </w:pPr>
      <w:r>
        <w:rPr>
          <w:bCs/>
          <w:b/>
        </w:rPr>
        <w:t xml:space="preserve">SWIFT/BIC:</w:t>
      </w:r>
      <w:r>
        <w:t xml:space="preserve"> </w:t>
      </w:r>
      <w:r>
        <w:t xml:space="preserve">ISBA TR IS</w:t>
      </w:r>
    </w:p>
    <w:p>
      <w:pPr>
        <w:pStyle w:val="BodyText"/>
      </w:pPr>
      <w:r>
        <w:t xml:space="preserve">Late payments are subject to a penalty interest rate of 1.5% per month as stipulated under Turkish Commercial Law (Türk Ticaret Kanunu, Article 30).</w:t>
      </w:r>
    </w:p>
    <w:bookmarkEnd w:id="24"/>
    <w:bookmarkStart w:id="25" w:name="important-notes-regarding-this-invoice"/>
    <w:p>
      <w:pPr>
        <w:pStyle w:val="Heading3"/>
      </w:pPr>
      <w:r>
        <w:t xml:space="preserve">Important Notes Regarding This Invoice</w:t>
      </w:r>
    </w:p>
    <w:p>
      <w:pPr>
        <w:pStyle w:val="FirstParagraph"/>
      </w:pPr>
      <w:r>
        <w:t xml:space="preserve">1. This Invoice has been prepared in accordance with the Turkish Accounting Standards (TMS) and the General Accounting Regulation (Genel Muhasebe Tebliği) issued by the Ministry of Treasury and Finance of the Republic of Turkey.</w:t>
      </w:r>
    </w:p>
    <w:p>
      <w:pPr>
        <w:pStyle w:val="BodyText"/>
      </w:pPr>
      <w:r>
        <w:t xml:space="preserve">2. All Business Consultant services rendered under this Invoice were performed by certified professionals registered with the Istanbul Chamber of Commerce (İstanbul Ticaret Odası). The Business Consultant engagement was governed by Contract No. AG-2025-019, signed on 28 April 2025 in Istanbul, Turkey.</w:t>
      </w:r>
    </w:p>
    <w:p>
      <w:pPr>
        <w:pStyle w:val="BodyText"/>
      </w:pPr>
      <w:r>
        <w:t xml:space="preserve">3. The rates quoted in this Invoice are exclusive of travel and accommodation expenses, which have been itemized separately under Invoice No. MC-2025-00488. All services were delivered at the client's premises in Istanbul, Turkey, unless otherwise noted.</w:t>
      </w:r>
    </w:p>
    <w:p>
      <w:pPr>
        <w:pStyle w:val="BodyText"/>
      </w:pPr>
      <w:r>
        <w:t xml:space="preserve">4. This Invoice is valid for a period of 90 days from the issue date. After this period, the Business Consultant reserves the right to adjust rates in accordance with the Consumer Price Index (TÜFE) published by TÜİK (Turkish Statistical Institute).</w:t>
      </w:r>
    </w:p>
    <w:p>
      <w:pPr>
        <w:pStyle w:val="BodyText"/>
      </w:pPr>
      <w:r>
        <w:t xml:space="preserve">5. Any disputes arising from this Invoice or the associated Business Consultant engagement shall be subject to the exclusive jurisdiction of the Istanbul Commercial Courts of the Republic of Turkey.</w:t>
      </w:r>
    </w:p>
    <w:bookmarkEnd w:id="25"/>
    <w:p>
      <w:pPr>
        <w:pStyle w:val="BodyText"/>
      </w:pPr>
      <w:r>
        <w:rPr>
          <w:bCs/>
          <w:b/>
        </w:rPr>
        <w:t xml:space="preserve">Prepared By:</w:t>
      </w:r>
      <w:r>
        <w:br/>
      </w:r>
      <w:r>
        <w:t xml:space="preserve">Elif Kaya, Senior Business Consultant</w:t>
      </w:r>
      <w:r>
        <w:br/>
      </w:r>
      <w:r>
        <w:t xml:space="preserve">Meridian Business Consulting Ltd.</w:t>
      </w:r>
      <w:r>
        <w:br/>
      </w:r>
      <w:r>
        <w:t xml:space="preserve">Istanbul, Turkey</w:t>
      </w:r>
    </w:p>
    <w:p>
      <w:pPr>
        <w:pStyle w:val="BodyText"/>
      </w:pPr>
      <w:r>
        <w:rPr>
          <w:bCs/>
          <w:b/>
        </w:rPr>
        <w:t xml:space="preserve">Authorized Signatory:</w:t>
      </w:r>
      <w:r>
        <w:br/>
      </w:r>
      <w:r>
        <w:t xml:space="preserve">Dr. Mehmet Aydın, Managing Director</w:t>
      </w:r>
      <w:r>
        <w:br/>
      </w:r>
      <w:r>
        <w:t xml:space="preserve">Meridian Business Consulting Ltd.</w:t>
      </w:r>
      <w:r>
        <w:br/>
      </w:r>
      <w:r>
        <w:t xml:space="preserve">Istanbul, Turkey</w:t>
      </w:r>
    </w:p>
    <w:p>
      <w:pPr>
        <w:pStyle w:val="BodyText"/>
      </w:pPr>
      <w:r>
        <w:rPr>
          <w:bCs/>
          <w:b/>
        </w:rPr>
        <w:t xml:space="preserve">Meridian Business Consulting Ltd.</w:t>
      </w:r>
      <w:r>
        <w:t xml:space="preserve"> </w:t>
      </w:r>
      <w:r>
        <w:t xml:space="preserve">– Registered Business Consultant Firm in Istanbul, Turkey</w:t>
      </w:r>
    </w:p>
    <w:p>
      <w:pPr>
        <w:pStyle w:val="BodyText"/>
      </w:pPr>
      <w:r>
        <w:t xml:space="preserve">Trade Registry No: 123456 | Tax Office: Levent VD | VKN: 1234567890</w:t>
      </w:r>
    </w:p>
    <w:p>
      <w:pPr>
        <w:pStyle w:val="BodyText"/>
      </w:pPr>
      <w:r>
        <w:t xml:space="preserve">This Invoice is electronically generated and carries the same legal validity as a stamped original under Turkish e-Invoice regulations (e-Fatura / e-Arşiv Fatura).</w:t>
      </w:r>
    </w:p>
    <w:p>
      <w:pPr>
        <w:pStyle w:val="BodyText"/>
      </w:pPr>
      <w:r>
        <w:t xml:space="preserve">For queries regarding this Invoice, please contact our billing department at billing@meridianconsulting.com.tr or +90 212 555 0142, Monday to Friday, 09:00–18:00 (GMT+3, Istanbul time).</w:t>
      </w:r>
    </w:p>
    <w:p>
      <w:pPr>
        <w:pStyle w:val="BodyText"/>
      </w:pPr>
      <w:r>
        <w:t xml:space="preserve">© 2025 Meridian Business Consulting Ltd. All rights reserved. This document is the property of Meridian Business Consulting Ltd. and is issued exclusively for the client named above. Unauthorized reproduction or distribution of this Invoice is strictly prohibited under Turkish Intellectual Property Law (5846).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Turkey Istanbul</dc:title>
  <dc:creator/>
  <dc:language>en</dc:language>
  <cp:keywords/>
  <dcterms:created xsi:type="dcterms:W3CDTF">2026-10-10T02:44:14Z</dcterms:created>
  <dcterms:modified xsi:type="dcterms:W3CDTF">2026-10-10T02:44:14Z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