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invoice"/>
    <w:p>
      <w:pPr>
        <w:pStyle w:val="Heading1"/>
      </w:pPr>
      <w:r>
        <w:t xml:space="preserve">INVOICE</w:t>
      </w:r>
    </w:p>
    <w:p>
      <w:pPr>
        <w:pStyle w:val="FirstParagraph"/>
      </w:pPr>
      <w:r>
        <w:t xml:space="preserve">Invoice No: INV-ABH-2025-00472</w:t>
      </w:r>
    </w:p>
    <w:p>
      <w:pPr>
        <w:pStyle w:val="BodyText"/>
      </w:pPr>
      <w:r>
        <w:t xml:space="preserve">Date of Issue: 15 June 2025</w:t>
      </w:r>
    </w:p>
    <w:p>
      <w:pPr>
        <w:pStyle w:val="BodyText"/>
      </w:pPr>
      <w:r>
        <w:t xml:space="preserve">Due Date: 15 July 2025</w:t>
      </w:r>
    </w:p>
    <w:p>
      <w:pPr>
        <w:pStyle w:val="BodyText"/>
      </w:pPr>
      <w:r>
        <w:t xml:space="preserve">VAT Registered – UAE</w:t>
      </w:r>
    </w:p>
    <w:bookmarkEnd w:id="20"/>
    <w:bookmarkStart w:id="21" w:name="strategic-vision-business-consulting-llc"/>
    <w:p>
      <w:pPr>
        <w:pStyle w:val="Heading3"/>
      </w:pPr>
      <w:r>
        <w:t xml:space="preserve">Strategic Vision Business Consulting LLC</w:t>
      </w:r>
    </w:p>
    <w:p>
      <w:pPr>
        <w:pStyle w:val="FirstParagraph"/>
      </w:pPr>
      <w:r>
        <w:t xml:space="preserve">Business Consultant – Corporate Advisory Division</w:t>
      </w:r>
    </w:p>
    <w:p>
      <w:pPr>
        <w:pStyle w:val="BodyText"/>
      </w:pPr>
      <w:r>
        <w:t xml:space="preserve">Office 1204, Level 12, Al Reem Island Tower</w:t>
      </w:r>
    </w:p>
    <w:p>
      <w:pPr>
        <w:pStyle w:val="BodyText"/>
      </w:pPr>
      <w:r>
        <w:t xml:space="preserve">United Arab Emirates, Abu Dhabi</w:t>
      </w:r>
    </w:p>
    <w:p>
      <w:pPr>
        <w:pStyle w:val="BodyText"/>
      </w:pPr>
      <w:r>
        <w:t xml:space="preserve">Tel: +971 2 445 6789</w:t>
      </w:r>
    </w:p>
    <w:p>
      <w:pPr>
        <w:pStyle w:val="BodyText"/>
      </w:pPr>
      <w:r>
        <w:t xml:space="preserve">Email: billing@strategicvision.ae</w:t>
      </w:r>
    </w:p>
    <w:p>
      <w:pPr>
        <w:pStyle w:val="BodyText"/>
      </w:pPr>
      <w:r>
        <w:t xml:space="preserve">TRN: 100234567800003</w:t>
      </w:r>
    </w:p>
    <w:bookmarkEnd w:id="21"/>
    <w:bookmarkStart w:id="22" w:name="billed-to-client"/>
    <w:p>
      <w:pPr>
        <w:pStyle w:val="Heading4"/>
      </w:pPr>
      <w:r>
        <w:t xml:space="preserve">Billed To (Client)</w:t>
      </w:r>
    </w:p>
    <w:p>
      <w:pPr>
        <w:pStyle w:val="FirstParagraph"/>
      </w:pPr>
      <w:r>
        <w:rPr>
          <w:bCs/>
          <w:b/>
        </w:rPr>
        <w:t xml:space="preserve">Emirates Horizon Development Group FZE</w:t>
      </w:r>
    </w:p>
    <w:p>
      <w:pPr>
        <w:pStyle w:val="BodyText"/>
      </w:pPr>
      <w:r>
        <w:t xml:space="preserve">Attn: Mr. Khalid Al Mansoori, Chief Operating Officer</w:t>
      </w:r>
    </w:p>
    <w:p>
      <w:pPr>
        <w:pStyle w:val="BodyText"/>
      </w:pPr>
      <w:r>
        <w:t xml:space="preserve">Al Maryah Island, Building 7, Floor 5</w:t>
      </w:r>
    </w:p>
    <w:p>
      <w:pPr>
        <w:pStyle w:val="BodyText"/>
      </w:pPr>
      <w:r>
        <w:t xml:space="preserve">United Arab Emirates, Abu Dhabi</w:t>
      </w:r>
    </w:p>
    <w:p>
      <w:pPr>
        <w:pStyle w:val="BodyText"/>
      </w:pPr>
      <w:r>
        <w:t xml:space="preserve">Tel: +971 2 660 1234</w:t>
      </w:r>
    </w:p>
    <w:p>
      <w:pPr>
        <w:pStyle w:val="BodyText"/>
      </w:pPr>
      <w:r>
        <w:t xml:space="preserve">Email: k.mansoori@emirateshorizon.ae</w:t>
      </w:r>
    </w:p>
    <w:bookmarkEnd w:id="22"/>
    <w:bookmarkStart w:id="23" w:name="invoice-reference"/>
    <w:p>
      <w:pPr>
        <w:pStyle w:val="Heading4"/>
      </w:pPr>
      <w:r>
        <w:t xml:space="preserve">Invoice Reference</w:t>
      </w:r>
    </w:p>
    <w:p>
      <w:pPr>
        <w:pStyle w:val="FirstParagraph"/>
      </w:pPr>
      <w:r>
        <w:rPr>
          <w:bCs/>
          <w:b/>
        </w:rPr>
        <w:t xml:space="preserve">Project:</w:t>
      </w:r>
      <w:r>
        <w:t xml:space="preserve"> </w:t>
      </w:r>
      <w:r>
        <w:t xml:space="preserve">Operational Restructuring &amp; Market Expansion Advisory</w:t>
      </w:r>
    </w:p>
    <w:p>
      <w:pPr>
        <w:pStyle w:val="BodyText"/>
      </w:pPr>
      <w:r>
        <w:rPr>
          <w:bCs/>
          <w:b/>
        </w:rPr>
        <w:t xml:space="preserve">Engagement Period:</w:t>
      </w:r>
      <w:r>
        <w:t xml:space="preserve"> </w:t>
      </w:r>
      <w:r>
        <w:t xml:space="preserve">01 April 2025 – 30 May 2025</w:t>
      </w:r>
    </w:p>
    <w:p>
      <w:pPr>
        <w:pStyle w:val="BodyText"/>
      </w:pPr>
      <w:r>
        <w:rPr>
          <w:bCs/>
          <w:b/>
        </w:rPr>
        <w:t xml:space="preserve">Contract Ref:</w:t>
      </w:r>
      <w:r>
        <w:t xml:space="preserve"> </w:t>
      </w:r>
      <w:r>
        <w:t xml:space="preserve">SVC-ABH-2025-0118</w:t>
      </w:r>
    </w:p>
    <w:p>
      <w:pPr>
        <w:pStyle w:val="BodyText"/>
      </w:pPr>
      <w:r>
        <w:rPr>
          <w:bCs/>
          <w:b/>
        </w:rPr>
        <w:t xml:space="preserve">Payment Method:</w:t>
      </w:r>
      <w:r>
        <w:t xml:space="preserve"> </w:t>
      </w:r>
      <w:r>
        <w:t xml:space="preserve">Bank Transfer (AED)</w:t>
      </w:r>
    </w:p>
    <w:p>
      <w:pPr>
        <w:pStyle w:val="BodyText"/>
      </w:pPr>
      <w:r>
        <w:rPr>
          <w:bCs/>
          <w:b/>
        </w:rPr>
        <w:t xml:space="preserve">Bank:</w:t>
      </w:r>
      <w:r>
        <w:t xml:space="preserve"> </w:t>
      </w:r>
      <w:r>
        <w:t xml:space="preserve">First Abu Dhabi Bank (FAB)</w:t>
      </w:r>
    </w:p>
    <w:p>
      <w:pPr>
        <w:pStyle w:val="BodyText"/>
      </w:pPr>
      <w:r>
        <w:rPr>
          <w:bCs/>
          <w:b/>
        </w:rPr>
        <w:t xml:space="preserve">IBAN:</w:t>
      </w:r>
      <w:r>
        <w:t xml:space="preserve"> </w:t>
      </w:r>
      <w:r>
        <w:t xml:space="preserve">AE07 0000 0000 1234 5678 9012 3</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Business Consulting Services</w:t>
            </w:r>
          </w:p>
        </w:tc>
        <w:tc>
          <w:tcPr/>
          <w:p>
            <w:pPr>
              <w:pStyle w:val="Compact"/>
              <w:jc w:val="left"/>
            </w:pPr>
            <w:r>
              <w:t xml:space="preserve">Duration</w:t>
            </w:r>
          </w:p>
        </w:tc>
        <w:tc>
          <w:tcPr/>
          <w:p>
            <w:pPr>
              <w:pStyle w:val="Compact"/>
              <w:jc w:val="left"/>
            </w:pPr>
            <w:r>
              <w:t xml:space="preserve">Rate (AED)</w:t>
            </w:r>
          </w:p>
        </w:tc>
        <w:tc>
          <w:tcPr/>
          <w:p>
            <w:pPr>
              <w:pStyle w:val="Compact"/>
              <w:jc w:val="left"/>
            </w:pPr>
            <w:r>
              <w:t xml:space="preserve">Qty</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Strategic Business Planning &amp; Organizational Restructuring Advisory – Comprehensive assessment of current operational workflows, departmental alignment, and leadership structure to deliver a 3-year strategic roadmap for the client's Abu Dhabi operations.</w:t>
            </w:r>
          </w:p>
        </w:tc>
        <w:tc>
          <w:tcPr/>
          <w:p>
            <w:pPr>
              <w:pStyle w:val="Compact"/>
              <w:jc w:val="left"/>
            </w:pPr>
            <w:r>
              <w:t xml:space="preserve">April 2025</w:t>
            </w:r>
          </w:p>
        </w:tc>
        <w:tc>
          <w:tcPr/>
          <w:p>
            <w:pPr>
              <w:pStyle w:val="Compact"/>
              <w:jc w:val="left"/>
            </w:pPr>
            <w:r>
              <w:t xml:space="preserve">4,500.00</w:t>
            </w:r>
          </w:p>
        </w:tc>
        <w:tc>
          <w:tcPr/>
          <w:p>
            <w:pPr>
              <w:pStyle w:val="Compact"/>
              <w:jc w:val="left"/>
            </w:pPr>
            <w:r>
              <w:t xml:space="preserve">40 hrs</w:t>
            </w:r>
          </w:p>
        </w:tc>
        <w:tc>
          <w:tcPr/>
          <w:p>
            <w:pPr>
              <w:pStyle w:val="Compact"/>
              <w:jc w:val="left"/>
            </w:pPr>
            <w:r>
              <w:t xml:space="preserve">180,000.00</w:t>
            </w:r>
          </w:p>
        </w:tc>
      </w:tr>
      <w:tr>
        <w:tc>
          <w:tcPr/>
          <w:p>
            <w:pPr>
              <w:pStyle w:val="Compact"/>
              <w:jc w:val="left"/>
            </w:pPr>
            <w:r>
              <w:t xml:space="preserve">2</w:t>
            </w:r>
          </w:p>
        </w:tc>
        <w:tc>
          <w:tcPr/>
          <w:p>
            <w:pPr>
              <w:pStyle w:val="Compact"/>
              <w:jc w:val="left"/>
            </w:pPr>
            <w:r>
              <w:t xml:space="preserve">Market Entry &amp; Expansion Feasibility Study – Detailed analysis of regional market conditions within the United Arab Emirates Abu Dhabi economic corridor, including competitor benchmarking, regulatory compliance review under ADGM and DED Abu Dhabi frameworks, and projected revenue modelling.</w:t>
            </w:r>
          </w:p>
        </w:tc>
        <w:tc>
          <w:tcPr/>
          <w:p>
            <w:pPr>
              <w:pStyle w:val="Compact"/>
              <w:jc w:val="left"/>
            </w:pPr>
            <w:r>
              <w:t xml:space="preserve">April 2025</w:t>
            </w:r>
          </w:p>
        </w:tc>
        <w:tc>
          <w:tcPr/>
          <w:p>
            <w:pPr>
              <w:pStyle w:val="Compact"/>
              <w:jc w:val="left"/>
            </w:pPr>
            <w:r>
              <w:t xml:space="preserve">3,800.00</w:t>
            </w:r>
          </w:p>
        </w:tc>
        <w:tc>
          <w:tcPr/>
          <w:p>
            <w:pPr>
              <w:pStyle w:val="Compact"/>
              <w:jc w:val="left"/>
            </w:pPr>
            <w:r>
              <w:t xml:space="preserve">30 hrs</w:t>
            </w:r>
          </w:p>
        </w:tc>
        <w:tc>
          <w:tcPr/>
          <w:p>
            <w:pPr>
              <w:pStyle w:val="Compact"/>
              <w:jc w:val="left"/>
            </w:pPr>
            <w:r>
              <w:t xml:space="preserve">114,000.00</w:t>
            </w:r>
          </w:p>
        </w:tc>
      </w:tr>
      <w:tr>
        <w:tc>
          <w:tcPr/>
          <w:p>
            <w:pPr>
              <w:pStyle w:val="Compact"/>
              <w:jc w:val="left"/>
            </w:pPr>
            <w:r>
              <w:t xml:space="preserve">3</w:t>
            </w:r>
          </w:p>
        </w:tc>
        <w:tc>
          <w:tcPr/>
          <w:p>
            <w:pPr>
              <w:pStyle w:val="Compact"/>
              <w:jc w:val="left"/>
            </w:pPr>
            <w:r>
              <w:t xml:space="preserve">Financial Performance Audit &amp; Cost Optimization Consulting – In-depth review of the client's financial statements, identification of cost-saving opportunities, implementation of lean management principles, and preparation of a detailed financial recovery plan aligned with UAE corporate tax regulations.</w:t>
            </w:r>
          </w:p>
        </w:tc>
        <w:tc>
          <w:tcPr/>
          <w:p>
            <w:pPr>
              <w:pStyle w:val="Compact"/>
              <w:jc w:val="left"/>
            </w:pPr>
            <w:r>
              <w:t xml:space="preserve">May 2025</w:t>
            </w:r>
          </w:p>
        </w:tc>
        <w:tc>
          <w:tcPr/>
          <w:p>
            <w:pPr>
              <w:pStyle w:val="Compact"/>
              <w:jc w:val="left"/>
            </w:pPr>
            <w:r>
              <w:t xml:space="preserve">4,200.00</w:t>
            </w:r>
          </w:p>
        </w:tc>
        <w:tc>
          <w:tcPr/>
          <w:p>
            <w:pPr>
              <w:pStyle w:val="Compact"/>
              <w:jc w:val="left"/>
            </w:pPr>
            <w:r>
              <w:t xml:space="preserve">35 hrs</w:t>
            </w:r>
          </w:p>
        </w:tc>
        <w:tc>
          <w:tcPr/>
          <w:p>
            <w:pPr>
              <w:pStyle w:val="Compact"/>
              <w:jc w:val="left"/>
            </w:pPr>
            <w:r>
              <w:t xml:space="preserve">147,000.00</w:t>
            </w:r>
          </w:p>
        </w:tc>
      </w:tr>
      <w:tr>
        <w:tc>
          <w:tcPr/>
          <w:p>
            <w:pPr>
              <w:pStyle w:val="Compact"/>
              <w:jc w:val="left"/>
            </w:pPr>
            <w:r>
              <w:t xml:space="preserve">4</w:t>
            </w:r>
          </w:p>
        </w:tc>
        <w:tc>
          <w:tcPr/>
          <w:p>
            <w:pPr>
              <w:pStyle w:val="Compact"/>
              <w:jc w:val="left"/>
            </w:pPr>
            <w:r>
              <w:t xml:space="preserve">Human Capital &amp; Workforce Development Advisory – Design of a performance management framework, recruitment strategy for key executive roles in Abu Dhabi, and training programme development to upskill existing staff in line with the Business Consultant's recommended organizational model.</w:t>
            </w:r>
          </w:p>
        </w:tc>
        <w:tc>
          <w:tcPr/>
          <w:p>
            <w:pPr>
              <w:pStyle w:val="Compact"/>
              <w:jc w:val="left"/>
            </w:pPr>
            <w:r>
              <w:t xml:space="preserve">May 2025</w:t>
            </w:r>
          </w:p>
        </w:tc>
        <w:tc>
          <w:tcPr/>
          <w:p>
            <w:pPr>
              <w:pStyle w:val="Compact"/>
              <w:jc w:val="left"/>
            </w:pPr>
            <w:r>
              <w:t xml:space="preserve">3,500.00</w:t>
            </w:r>
          </w:p>
        </w:tc>
        <w:tc>
          <w:tcPr/>
          <w:p>
            <w:pPr>
              <w:pStyle w:val="Compact"/>
              <w:jc w:val="left"/>
            </w:pPr>
            <w:r>
              <w:t xml:space="preserve">25 hrs</w:t>
            </w:r>
          </w:p>
        </w:tc>
        <w:tc>
          <w:tcPr/>
          <w:p>
            <w:pPr>
              <w:pStyle w:val="Compact"/>
              <w:jc w:val="left"/>
            </w:pPr>
            <w:r>
              <w:t xml:space="preserve">87,500.00</w:t>
            </w:r>
          </w:p>
        </w:tc>
      </w:tr>
      <w:tr>
        <w:tc>
          <w:tcPr/>
          <w:p>
            <w:pPr>
              <w:pStyle w:val="Compact"/>
              <w:jc w:val="left"/>
            </w:pPr>
            <w:r>
              <w:t xml:space="preserve">5</w:t>
            </w:r>
          </w:p>
        </w:tc>
        <w:tc>
          <w:tcPr/>
          <w:p>
            <w:pPr>
              <w:pStyle w:val="Compact"/>
              <w:jc w:val="left"/>
            </w:pPr>
            <w:r>
              <w:t xml:space="preserve">Technology Integration &amp; Digital Transformation Roadmap – Assessment of current IT infrastructure, recommendation of enterprise resource planning (ERP) solutions suitable for the Abu Dhabi business environment, and a phased digital adoption plan with vendor selection criteria.</w:t>
            </w:r>
          </w:p>
        </w:tc>
        <w:tc>
          <w:tcPr/>
          <w:p>
            <w:pPr>
              <w:pStyle w:val="Compact"/>
              <w:jc w:val="left"/>
            </w:pPr>
            <w:r>
              <w:t xml:space="preserve">May 2025</w:t>
            </w:r>
          </w:p>
        </w:tc>
        <w:tc>
          <w:tcPr/>
          <w:p>
            <w:pPr>
              <w:pStyle w:val="Compact"/>
              <w:jc w:val="left"/>
            </w:pPr>
            <w:r>
              <w:t xml:space="preserve">4,000.00</w:t>
            </w:r>
          </w:p>
        </w:tc>
        <w:tc>
          <w:tcPr/>
          <w:p>
            <w:pPr>
              <w:pStyle w:val="Compact"/>
              <w:jc w:val="left"/>
            </w:pPr>
            <w:r>
              <w:t xml:space="preserve">20 hrs</w:t>
            </w:r>
          </w:p>
        </w:tc>
        <w:tc>
          <w:tcPr/>
          <w:p>
            <w:pPr>
              <w:pStyle w:val="Compact"/>
              <w:jc w:val="left"/>
            </w:pPr>
            <w:r>
              <w:t xml:space="preserve">80,000.00</w:t>
            </w:r>
          </w:p>
        </w:tc>
      </w:tr>
      <w:tr>
        <w:tc>
          <w:tcPr/>
          <w:p>
            <w:pPr>
              <w:pStyle w:val="Compact"/>
              <w:jc w:val="left"/>
            </w:pPr>
            <w:r>
              <w:t xml:space="preserve">6</w:t>
            </w:r>
          </w:p>
        </w:tc>
        <w:tc>
          <w:tcPr/>
          <w:p>
            <w:pPr>
              <w:pStyle w:val="Compact"/>
              <w:jc w:val="left"/>
            </w:pPr>
            <w:r>
              <w:t xml:space="preserve">Executive Board Presentation &amp; Final Deliverable Compilation – Preparation and delivery of a comprehensive final report, executive summary deck, and in-person presentation to the Board of Directors of the client at their Abu Dhabi headquarters, including Q&amp;A and follow-up action items.</w:t>
            </w:r>
          </w:p>
        </w:tc>
        <w:tc>
          <w:tcPr/>
          <w:p>
            <w:pPr>
              <w:pStyle w:val="Compact"/>
              <w:jc w:val="left"/>
            </w:pPr>
            <w:r>
              <w:t xml:space="preserve">May 2025</w:t>
            </w:r>
          </w:p>
        </w:tc>
        <w:tc>
          <w:tcPr/>
          <w:p>
            <w:pPr>
              <w:pStyle w:val="Compact"/>
              <w:jc w:val="left"/>
            </w:pPr>
            <w:r>
              <w:t xml:space="preserve">5,000.00</w:t>
            </w:r>
          </w:p>
        </w:tc>
        <w:tc>
          <w:tcPr/>
          <w:p>
            <w:pPr>
              <w:pStyle w:val="Compact"/>
              <w:jc w:val="left"/>
            </w:pPr>
            <w:r>
              <w:t xml:space="preserve">8 hrs</w:t>
            </w:r>
          </w:p>
        </w:tc>
        <w:tc>
          <w:tcPr/>
          <w:p>
            <w:pPr>
              <w:pStyle w:val="Compact"/>
              <w:jc w:val="left"/>
            </w:pPr>
            <w:r>
              <w:t xml:space="preserve">40,000.00</w:t>
            </w:r>
          </w:p>
        </w:tc>
      </w:tr>
    </w:tbl>
    <w:p>
      <w:pPr>
        <w:pStyle w:val="BodyText"/>
      </w:pPr>
      <w:r>
        <w:t xml:space="preserve">Subtotal (AED)</w:t>
      </w:r>
      <w:r>
        <w:t xml:space="preserve"> </w:t>
      </w:r>
      <w:r>
        <w:t xml:space="preserve">648,500.00</w:t>
      </w:r>
    </w:p>
    <w:p>
      <w:pPr>
        <w:pStyle w:val="BodyText"/>
      </w:pPr>
      <w:r>
        <w:t xml:space="preserve">VAT @ 5% (UAE Federal Tax Authority)</w:t>
      </w:r>
      <w:r>
        <w:t xml:space="preserve"> </w:t>
      </w:r>
      <w:r>
        <w:t xml:space="preserve">32,425.00</w:t>
      </w:r>
    </w:p>
    <w:p>
      <w:pPr>
        <w:pStyle w:val="BodyText"/>
      </w:pPr>
      <w:r>
        <w:t xml:space="preserve">Discount – Early Engagement Loyalty (2%)</w:t>
      </w:r>
      <w:r>
        <w:t xml:space="preserve"> </w:t>
      </w:r>
      <w:r>
        <w:t xml:space="preserve">-12,970.00</w:t>
      </w:r>
    </w:p>
    <w:p>
      <w:pPr>
        <w:pStyle w:val="BodyText"/>
      </w:pPr>
      <w:r>
        <w:t xml:space="preserve">Grand Total Due (AED)</w:t>
      </w:r>
      <w:r>
        <w:t xml:space="preserve"> </w:t>
      </w:r>
      <w:r>
        <w:t xml:space="preserve">667,955.00</w:t>
      </w:r>
    </w:p>
    <w:bookmarkStart w:id="24" w:name="payment-terms-conditions"/>
    <w:p>
      <w:pPr>
        <w:pStyle w:val="Heading4"/>
      </w:pPr>
      <w:r>
        <w:t xml:space="preserve">Payment Terms &amp; Conditions</w:t>
      </w:r>
    </w:p>
    <w:p>
      <w:pPr>
        <w:pStyle w:val="FirstParagraph"/>
      </w:pPr>
      <w:r>
        <w:t xml:space="preserve">This Invoice is issued by Strategic Vision Business Consulting LLC, a licensed Business Consultant operating in United Arab Emirates Abu Dhabi, in accordance with the Federal Tax Authority (FTA) regulations and the Commercial Transactions Law of the UAE.</w:t>
      </w:r>
    </w:p>
    <w:p>
      <w:pPr>
        <w:numPr>
          <w:ilvl w:val="0"/>
          <w:numId w:val="1001"/>
        </w:numPr>
        <w:pStyle w:val="Compact"/>
      </w:pPr>
      <w:r>
        <w:t xml:space="preserve">Payment is due within thirty (30) calendar days from the date of issue of this Invoice, i.e., no later than 15 July 2025.</w:t>
      </w:r>
    </w:p>
    <w:p>
      <w:pPr>
        <w:numPr>
          <w:ilvl w:val="0"/>
          <w:numId w:val="1001"/>
        </w:numPr>
        <w:pStyle w:val="Compact"/>
      </w:pPr>
      <w:r>
        <w:t xml:space="preserve">All payments must be made in United Arab Emirates Dirhams (AED) via bank transfer to the IBAN specified above. Cheques payable to "Strategic Vision Business Consulting LLC" are also accepted.</w:t>
      </w:r>
    </w:p>
    <w:p>
      <w:pPr>
        <w:numPr>
          <w:ilvl w:val="0"/>
          <w:numId w:val="1001"/>
        </w:numPr>
        <w:pStyle w:val="Compact"/>
      </w:pPr>
      <w:r>
        <w:t xml:space="preserve">A late payment penalty of 2% per month (or the maximum rate permitted under UAE law, whichever is lower) shall apply to any outstanding balance after the due date.</w:t>
      </w:r>
    </w:p>
    <w:p>
      <w:pPr>
        <w:numPr>
          <w:ilvl w:val="0"/>
          <w:numId w:val="1001"/>
        </w:numPr>
        <w:pStyle w:val="Compact"/>
      </w:pPr>
      <w:r>
        <w:t xml:space="preserve">This Invoice is subject to the terms and conditions outlined in the Master Service Agreement (Contract Ref: SVC-ABH-2025-0118) executed between the Business Consultant and the Client on 28 March 2025.</w:t>
      </w:r>
    </w:p>
    <w:p>
      <w:pPr>
        <w:numPr>
          <w:ilvl w:val="0"/>
          <w:numId w:val="1001"/>
        </w:numPr>
        <w:pStyle w:val="Compact"/>
      </w:pPr>
      <w:r>
        <w:t xml:space="preserve">All services rendered by the Business Consultant are confidential. The client agrees not to disclose proprietary methodologies, frameworks, or strategic recommendations to third parties without prior written consent.</w:t>
      </w:r>
    </w:p>
    <w:p>
      <w:pPr>
        <w:numPr>
          <w:ilvl w:val="0"/>
          <w:numId w:val="1001"/>
        </w:numPr>
        <w:pStyle w:val="Compact"/>
      </w:pPr>
      <w:r>
        <w:t xml:space="preserve">Any disputes arising from this Invoice or the associated consulting engagement shall be resolved through arbitration in Abu Dhabi, United Arab Emirates, in accordance with the rules of the Abu Dhabi Global Market (ADGM) Financial Services Regulatory Authority.</w:t>
      </w:r>
    </w:p>
    <w:p>
      <w:pPr>
        <w:numPr>
          <w:ilvl w:val="0"/>
          <w:numId w:val="1001"/>
        </w:numPr>
        <w:pStyle w:val="Compact"/>
      </w:pPr>
      <w:r>
        <w:t xml:space="preserve">The Business Consultant reserves the right to suspend ongoing services if payment remains outstanding beyond fifteen (15) days past the due date, subject to a written notice of seven (7) days.</w:t>
      </w:r>
    </w:p>
    <w:bookmarkEnd w:id="24"/>
    <w:bookmarkStart w:id="25" w:name="additional-notes-compliance-statement"/>
    <w:p>
      <w:pPr>
        <w:pStyle w:val="Heading4"/>
      </w:pPr>
      <w:r>
        <w:t xml:space="preserve">Additional Notes &amp; Compliance Statement</w:t>
      </w:r>
    </w:p>
    <w:p>
      <w:pPr>
        <w:pStyle w:val="FirstParagraph"/>
      </w:pPr>
      <w:r>
        <w:t xml:space="preserve">This Invoice has been prepared in full compliance with the UAE Federal Decree-Law No. 8 of 2017 on Value Added Tax (VAT) and its Executive Regulations. The 5% VAT rate applied herein is the standard rate as prescribed by the Federal Tax Authority of the United Arab Emirates. The Tax Registration Number (TRN) of the Business Consultant is displayed in the header of this document as required by FTA invoicing guidelines.</w:t>
      </w:r>
    </w:p>
    <w:p>
      <w:pPr>
        <w:pStyle w:val="BodyText"/>
      </w:pPr>
      <w:r>
        <w:t xml:space="preserve">Strategic Vision Business Consulting LLC is registered with the Department of Economic Development (DED) Abu Dhabi and holds a valid trade licence for the provision of management consulting, business advisory, and corporate strategy services within the United Arab Emirates Abu Dhabi jurisdiction. All professional services described in this Invoice were performed by qualified Business Consultant professionals holding relevant certifications including PMP, CFA, and ACCA designations.</w:t>
      </w:r>
    </w:p>
    <w:p>
      <w:pPr>
        <w:pStyle w:val="BodyText"/>
      </w:pPr>
      <w:r>
        <w:t xml:space="preserve">The client is advised to retain this Invoice and all supporting documentation for a minimum period of five (5) years in accordance with UAE commercial record-keeping requirements. For any queries regarding this Invoice, please contact the billing department of the Business Consultant at billing@strategicvision.ae or by telephone at +971 2 445 6789, Monday to Friday, 8:00 AM to 5:00 PM (GST, Abu Dhabi time).</w:t>
      </w:r>
    </w:p>
    <w:p>
      <w:pPr>
        <w:pStyle w:val="BodyText"/>
      </w:pPr>
      <w:r>
        <w:t xml:space="preserve">This document constitutes a formal Invoice for the purpose of payment processing, tax reporting, and financial auditing. It is valid only when bearing the official stamp and authorized signature of Strategic Vision Business Consulting LLC. Electronic copies transmitted via secure email are considered valid and binding.</w:t>
      </w:r>
    </w:p>
    <w:bookmarkEnd w:id="25"/>
    <w:p>
      <w:pPr>
        <w:pStyle w:val="BodyText"/>
      </w:pPr>
      <w:r>
        <w:rPr>
          <w:bCs/>
          <w:b/>
        </w:rPr>
        <w:t xml:space="preserve">Strategic Vision Business Consulting LLC</w:t>
      </w:r>
      <w:r>
        <w:t xml:space="preserve"> </w:t>
      </w:r>
      <w:r>
        <w:t xml:space="preserve">| Business Consultant | United Arab Emirates, Abu Dhabi</w:t>
      </w:r>
    </w:p>
    <w:p>
      <w:pPr>
        <w:pStyle w:val="BodyText"/>
      </w:pPr>
      <w:r>
        <w:t xml:space="preserve">Trade Licence No: 10457892 | CR: 100234567 | TRN: 100234567800003</w:t>
      </w:r>
    </w:p>
    <w:p>
      <w:pPr>
        <w:pStyle w:val="BodyText"/>
      </w:pPr>
      <w:r>
        <w:t xml:space="preserve">Registered Address: Office 1204, Level 12, Al Reem Island Tower, Abu Dhabi, United Arab Emirates</w:t>
      </w:r>
    </w:p>
    <w:p>
      <w:pPr>
        <w:pStyle w:val="BodyText"/>
      </w:pPr>
      <w:r>
        <w:t xml:space="preserve">Thank you for engaging our Business Consultant services. We look forward to a continued and prosperous partnership in the United Arab Emirates Abu Dhabi business community.</w:t>
      </w:r>
    </w:p>
    <w:p>
      <w:pPr>
        <w:pStyle w:val="BodyText"/>
      </w:pPr>
      <w:r>
        <w:t xml:space="preserve">This Invoice was generated electronically. No physical signature is required for validity. Document ID: INV-ABH-2025-00472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 United Arab Emirates Abu Dhabi</dc:title>
  <dc:creator/>
  <dc:language>en</dc:language>
  <cp:keywords/>
  <dcterms:created xsi:type="dcterms:W3CDTF">2026-10-10T04:50:28Z</dcterms:created>
  <dcterms:modified xsi:type="dcterms:W3CDTF">2026-10-10T04:50:28Z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