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trategic-vision-consulting-llc"/>
    <w:p>
      <w:pPr>
        <w:pStyle w:val="Heading1"/>
      </w:pPr>
      <w:r>
        <w:t xml:space="preserve">Strategic Vision Consulting LLC</w:t>
      </w:r>
    </w:p>
    <w:p>
      <w:pPr>
        <w:pStyle w:val="FirstParagraph"/>
      </w:pPr>
      <w:r>
        <w:t xml:space="preserve">Business Consultant Services</w:t>
      </w:r>
    </w:p>
    <w:p>
      <w:pPr>
        <w:pStyle w:val="BodyText"/>
      </w:pPr>
      <w:r>
        <w:t xml:space="preserve">Office 1204, Level 12, Burj Khalifa</w:t>
      </w:r>
    </w:p>
    <w:p>
      <w:pPr>
        <w:pStyle w:val="BodyText"/>
      </w:pPr>
      <w:r>
        <w:t xml:space="preserve">Downtown Dubai, United Arab Emirates Dubai</w:t>
      </w:r>
    </w:p>
    <w:p>
      <w:pPr>
        <w:pStyle w:val="BodyText"/>
      </w:pPr>
      <w:r>
        <w:t xml:space="preserve">Tel: +971 4 555 0192 | Email: billing@strategicvision.ae</w:t>
      </w:r>
    </w:p>
    <w:p>
      <w:pPr>
        <w:pStyle w:val="BodyText"/>
      </w:pPr>
      <w:r>
        <w:t xml:space="preserve">TRN: 100234567800003 | CR: 1-00456789</w:t>
      </w:r>
    </w:p>
    <w:bookmarkEnd w:id="20"/>
    <w:bookmarkStart w:id="21" w:name="invoice"/>
    <w:p>
      <w:pPr>
        <w:pStyle w:val="Heading2"/>
      </w:pPr>
      <w:r>
        <w:t xml:space="preserve">INVOICE</w:t>
      </w:r>
    </w:p>
    <w:p>
      <w:pPr>
        <w:pStyle w:val="FirstParagraph"/>
      </w:pPr>
      <w:r>
        <w:t xml:space="preserve">Invoice No: SVC-2025-00487</w:t>
      </w:r>
    </w:p>
    <w:p>
      <w:pPr>
        <w:pStyle w:val="BodyText"/>
      </w:pPr>
      <w:r>
        <w:t xml:space="preserve">Issue Date: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 Name:</w:t>
      </w:r>
      <w:r>
        <w:t xml:space="preserve"> </w:t>
      </w:r>
      <w:r>
        <w:t xml:space="preserve">Al Maktoum Retail Group FZ-LLC</w:t>
      </w:r>
    </w:p>
    <w:p>
      <w:pPr>
        <w:pStyle w:val="BodyText"/>
      </w:pPr>
      <w:r>
        <w:t xml:space="preserve">Attn:</w:t>
      </w:r>
      <w:r>
        <w:t xml:space="preserve"> </w:t>
      </w:r>
      <w:r>
        <w:t xml:space="preserve">Mr. Khalid Al Mansoori, Chief Operating Officer</w:t>
      </w:r>
    </w:p>
    <w:p>
      <w:pPr>
        <w:pStyle w:val="BodyText"/>
      </w:pPr>
      <w:r>
        <w:t xml:space="preserve">Address:</w:t>
      </w:r>
      <w:r>
        <w:t xml:space="preserve"> </w:t>
      </w:r>
      <w:r>
        <w:t xml:space="preserve">Plot 45, Dubai Investment Park, Dubai, United Arab Emirates</w:t>
      </w:r>
    </w:p>
    <w:p>
      <w:pPr>
        <w:pStyle w:val="BodyText"/>
      </w:pPr>
      <w:r>
        <w:t xml:space="preserve">TRN:</w:t>
      </w:r>
      <w:r>
        <w:t xml:space="preserve"> </w:t>
      </w:r>
      <w:r>
        <w:t xml:space="preserve">100987654300003</w:t>
      </w:r>
    </w:p>
    <w:p>
      <w:pPr>
        <w:pStyle w:val="BodyText"/>
      </w:pPr>
      <w:r>
        <w:t xml:space="preserve">Contact:</w:t>
      </w:r>
      <w:r>
        <w:t xml:space="preserve"> </w:t>
      </w:r>
      <w:r>
        <w:t xml:space="preserve">+971 50 123 4567 | k.mansoori@almaktoumretail.ae</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May 2025 – 31 May 2025</w:t>
      </w:r>
    </w:p>
    <w:p>
      <w:pPr>
        <w:pStyle w:val="BodyText"/>
      </w:pPr>
      <w:r>
        <w:t xml:space="preserve">Project Reference:</w:t>
      </w:r>
      <w:r>
        <w:t xml:space="preserve"> </w:t>
      </w:r>
      <w:r>
        <w:t xml:space="preserve">BIZ-CONSULT-2025-Q2</w:t>
      </w:r>
    </w:p>
    <w:p>
      <w:pPr>
        <w:pStyle w:val="BodyText"/>
      </w:pPr>
      <w:r>
        <w:t xml:space="preserve">Currency:</w:t>
      </w:r>
      <w:r>
        <w:t xml:space="preserve"> </w:t>
      </w:r>
      <w:r>
        <w:t xml:space="preserve">AED (United Arab Emirates Dirham)</w:t>
      </w:r>
    </w:p>
    <w:p>
      <w:pPr>
        <w:pStyle w:val="BodyText"/>
      </w:pPr>
      <w:r>
        <w:t xml:space="preserve">Payment Method:</w:t>
      </w:r>
      <w:r>
        <w:t xml:space="preserve"> </w:t>
      </w:r>
      <w:r>
        <w:t xml:space="preserve">Bank Transfer</w:t>
      </w:r>
    </w:p>
    <w:p>
      <w:pPr>
        <w:pStyle w:val="BodyText"/>
      </w:pPr>
      <w:r>
        <w:t xml:space="preserve">Bank:</w:t>
      </w:r>
      <w:r>
        <w:t xml:space="preserve"> </w:t>
      </w:r>
      <w:r>
        <w:t xml:space="preserve">Emirates NBD, Dubai Branch</w:t>
      </w:r>
    </w:p>
    <w:p>
      <w:pPr>
        <w:pStyle w:val="BodyText"/>
      </w:pPr>
      <w:r>
        <w:t xml:space="preserve">Account No:</w:t>
      </w:r>
      <w:r>
        <w:t xml:space="preserve"> </w:t>
      </w:r>
      <w:r>
        <w:t xml:space="preserve">0020-123456789-001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Strategic Business Planning &amp; Market Analysis – Comprehensive assessment of the client's retail operations in the United Arab Emirates Dubai market, including competitor benchmarking, consumer behaviour analysis, and five-year growth roadmap development.</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1</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Operational Efficiency Consulting – On-site evaluation of supply chain logistics, warehouse management systems, and inventory control processes at the client's Dubai Investment Park facility. Includes process re-engineering recommendations.</w:t>
            </w:r>
          </w:p>
        </w:tc>
        <w:tc>
          <w:tcPr/>
          <w:p>
            <w:pPr>
              <w:pStyle w:val="Compact"/>
              <w:jc w:val="left"/>
            </w:pPr>
            <w:r>
              <w:t xml:space="preserve">1,400.00</w:t>
            </w:r>
          </w:p>
        </w:tc>
        <w:tc>
          <w:tcPr/>
          <w:p>
            <w:pPr>
              <w:pStyle w:val="Compact"/>
              <w:jc w:val="left"/>
            </w:pPr>
            <w:r>
              <w:t xml:space="preserve">32</w:t>
            </w:r>
          </w:p>
        </w:tc>
        <w:tc>
          <w:tcPr/>
          <w:p>
            <w:pPr>
              <w:pStyle w:val="Compact"/>
              <w:jc w:val="left"/>
            </w:pPr>
            <w:r>
              <w:t xml:space="preserve">1</w:t>
            </w:r>
          </w:p>
        </w:tc>
        <w:tc>
          <w:tcPr/>
          <w:p>
            <w:pPr>
              <w:pStyle w:val="Compact"/>
              <w:jc w:val="left"/>
            </w:pPr>
            <w:r>
              <w:t xml:space="preserve">44,800.00</w:t>
            </w:r>
          </w:p>
        </w:tc>
      </w:tr>
      <w:tr>
        <w:tc>
          <w:tcPr/>
          <w:p>
            <w:pPr>
              <w:pStyle w:val="Compact"/>
              <w:jc w:val="left"/>
            </w:pPr>
            <w:r>
              <w:t xml:space="preserve">3</w:t>
            </w:r>
          </w:p>
        </w:tc>
        <w:tc>
          <w:tcPr/>
          <w:p>
            <w:pPr>
              <w:pStyle w:val="Compact"/>
              <w:jc w:val="left"/>
            </w:pPr>
            <w:r>
              <w:t xml:space="preserve">Digital Transformation Advisory – Guidance on implementing an integrated ERP system, e-commerce platform optimisation, and data analytics infrastructure to support the Business Consultant engagement objectives for the retail sector in United Arab Emirates Dubai.</w:t>
            </w:r>
          </w:p>
        </w:tc>
        <w:tc>
          <w:tcPr/>
          <w:p>
            <w:pPr>
              <w:pStyle w:val="Compact"/>
              <w:jc w:val="left"/>
            </w:pPr>
            <w:r>
              <w:t xml:space="preserve">1,500.00</w:t>
            </w:r>
          </w:p>
        </w:tc>
        <w:tc>
          <w:tcPr/>
          <w:p>
            <w:pPr>
              <w:pStyle w:val="Compact"/>
              <w:jc w:val="left"/>
            </w:pPr>
            <w:r>
              <w:t xml:space="preserve">20</w:t>
            </w:r>
          </w:p>
        </w:tc>
        <w:tc>
          <w:tcPr/>
          <w:p>
            <w:pPr>
              <w:pStyle w:val="Compact"/>
              <w:jc w:val="left"/>
            </w:pPr>
            <w:r>
              <w:t xml:space="preserve">1</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Human Capital &amp; Organisational Development – Design of leadership training programmes, performance management frameworks, and succession planning strategies aligned with UAE labour regulations and corporate governance standards.</w:t>
            </w:r>
          </w:p>
        </w:tc>
        <w:tc>
          <w:tcPr/>
          <w:p>
            <w:pPr>
              <w:pStyle w:val="Compact"/>
              <w:jc w:val="left"/>
            </w:pPr>
            <w:r>
              <w:t xml:space="preserve">1,100.00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17,600.00</w:t>
            </w:r>
          </w:p>
        </w:tc>
      </w:tr>
      <w:tr>
        <w:tc>
          <w:tcPr/>
          <w:p>
            <w:pPr>
              <w:pStyle w:val="Compact"/>
              <w:jc w:val="left"/>
            </w:pPr>
            <w:r>
              <w:t xml:space="preserve">5</w:t>
            </w:r>
          </w:p>
        </w:tc>
        <w:tc>
          <w:tcPr/>
          <w:p>
            <w:pPr>
              <w:pStyle w:val="Compact"/>
              <w:jc w:val="left"/>
            </w:pPr>
            <w:r>
              <w:t xml:space="preserve">Regulatory Compliance &amp; Licensing Advisory – Review of trade licence conditions, VAT compliance under the Federal Tax Authority of the United Arab Emirates, and free zone regulatory requirements applicable to the client's operations in Dubai.</w:t>
            </w:r>
          </w:p>
        </w:tc>
        <w:tc>
          <w:tcPr/>
          <w:p>
            <w:pPr>
              <w:pStyle w:val="Compact"/>
              <w:jc w:val="left"/>
            </w:pPr>
            <w:r>
              <w:t xml:space="preserve">1,300.00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Monthly Progress Reporting &amp; Stakeholder Presentations – Preparation and delivery of executive-level progress reports, KPI dashboards, and board presentations summarising the Business Consultant findings and actionable recommendations for the month of May 2025.</w:t>
            </w:r>
          </w:p>
        </w:tc>
        <w:tc>
          <w:tcPr/>
          <w:p>
            <w:pPr>
              <w:pStyle w:val="Compact"/>
              <w:jc w:val="left"/>
            </w:pPr>
            <w:r>
              <w:t xml:space="preserve">800.00</w:t>
            </w:r>
          </w:p>
        </w:tc>
        <w:tc>
          <w:tcPr/>
          <w:p>
            <w:pPr>
              <w:pStyle w:val="Compact"/>
              <w:jc w:val="left"/>
            </w:pPr>
            <w:r>
              <w:t xml:space="preserve">8</w:t>
            </w:r>
          </w:p>
        </w:tc>
        <w:tc>
          <w:tcPr/>
          <w:p>
            <w:pPr>
              <w:pStyle w:val="Compact"/>
              <w:jc w:val="left"/>
            </w:pPr>
            <w:r>
              <w:t xml:space="preserve">1</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143,200.00 AED</w:t>
            </w:r>
          </w:p>
        </w:tc>
      </w:tr>
      <w:tr>
        <w:tc>
          <w:tcPr/>
          <w:p>
            <w:pPr>
              <w:pStyle w:val="Compact"/>
              <w:jc w:val="left"/>
            </w:pPr>
            <w:r>
              <w:t xml:space="preserve">VAT @ 5% (Federal Tax Authority, UAE)</w:t>
            </w:r>
          </w:p>
        </w:tc>
        <w:tc>
          <w:tcPr/>
          <w:p>
            <w:pPr>
              <w:pStyle w:val="Compact"/>
              <w:jc w:val="left"/>
            </w:pPr>
            <w:r>
              <w:t xml:space="preserve">7,160.00 AED</w:t>
            </w:r>
          </w:p>
        </w:tc>
      </w:tr>
      <w:tr>
        <w:tc>
          <w:tcPr/>
          <w:p>
            <w:pPr>
              <w:pStyle w:val="Compact"/>
              <w:jc w:val="left"/>
            </w:pPr>
            <w:r>
              <w:t xml:space="preserve">Discount (Early Payment – 2%)</w:t>
            </w:r>
          </w:p>
        </w:tc>
        <w:tc>
          <w:tcPr/>
          <w:p>
            <w:pPr>
              <w:pStyle w:val="Compact"/>
              <w:jc w:val="left"/>
            </w:pPr>
            <w:r>
              <w:t xml:space="preserve">(2,864.00) AED</w:t>
            </w:r>
          </w:p>
        </w:tc>
      </w:tr>
      <w:tr>
        <w:tc>
          <w:tcPr/>
          <w:p>
            <w:pPr>
              <w:pStyle w:val="Compact"/>
              <w:jc w:val="left"/>
            </w:pPr>
            <w:r>
              <w:t xml:space="preserve">Grand Total Due</w:t>
            </w:r>
          </w:p>
        </w:tc>
        <w:tc>
          <w:tcPr/>
          <w:p>
            <w:pPr>
              <w:pStyle w:val="Compact"/>
              <w:jc w:val="left"/>
            </w:pPr>
            <w:r>
              <w:t xml:space="preserve">147,496.00 AED</w:t>
            </w:r>
          </w:p>
        </w:tc>
      </w:tr>
    </w:tbl>
    <w:bookmarkStart w:id="24" w:name="invoice-notes-payment-instructions"/>
    <w:p>
      <w:pPr>
        <w:pStyle w:val="Heading3"/>
      </w:pPr>
      <w:r>
        <w:t xml:space="preserve">Invoice Notes &amp; Payment Instructions</w:t>
      </w:r>
    </w:p>
    <w:p>
      <w:pPr>
        <w:pStyle w:val="FirstParagraph"/>
      </w:pPr>
      <w:r>
        <w:t xml:space="preserve">This Invoice is issued by Strategic Vision Consulting LLC, a licensed Business Consultant firm registered in the United Arab Emirates Dubai, in accordance with the Federal Tax Authority regulations governing commercial invoicing in the UAE. All services rendered under this Invoice have been performed in full compliance with the master service agreement dated 1 April 2025 (Reference: MSA-2025-0031).</w:t>
      </w:r>
    </w:p>
    <w:p>
      <w:pPr>
        <w:pStyle w:val="BodyText"/>
      </w:pPr>
      <w:r>
        <w:t xml:space="preserve">Payment of this Invoice is due within fourteen (14) calendar days from the issue date. Please reference Invoice number SVC-2025-00487 in your remittance advice. Payments should be directed to the Emirates NBD account specified above. For wire transfers from international accounts, please note that the receiving bank is located in Dubai, United Arab Emirates, and SWIFT code is EMBA AEAD.</w:t>
      </w:r>
    </w:p>
    <w:p>
      <w:pPr>
        <w:pStyle w:val="BodyText"/>
      </w:pPr>
      <w:r>
        <w:t xml:space="preserve">The 2% early payment discount applies only if full settlement is received on or before 22 June 2025. This Invoice is valid for a period of ninety (90) days from the issue date. After this period, a late payment surcharge of 1.5% per month will be applied as per the terms of the master service agreement.</w:t>
      </w:r>
    </w:p>
    <w:bookmarkEnd w:id="24"/>
    <w:bookmarkStart w:id="25" w:name="terms-conditions"/>
    <w:p>
      <w:pPr>
        <w:pStyle w:val="Heading3"/>
      </w:pPr>
      <w:r>
        <w:t xml:space="preserve">Terms &amp; Conditions</w:t>
      </w:r>
    </w:p>
    <w:p>
      <w:pPr>
        <w:numPr>
          <w:ilvl w:val="0"/>
          <w:numId w:val="1001"/>
        </w:numPr>
        <w:pStyle w:val="Compact"/>
      </w:pPr>
      <w:r>
        <w:t xml:space="preserve">This Invoice constitutes a formal request for payment for Business Consultant services rendered by Strategic Vision Consulting LLC to Al Maktoum Retail Group FZ-LLC for the service period of May 2025.</w:t>
      </w:r>
    </w:p>
    <w:p>
      <w:pPr>
        <w:numPr>
          <w:ilvl w:val="0"/>
          <w:numId w:val="1001"/>
        </w:numPr>
        <w:pStyle w:val="Compact"/>
      </w:pPr>
      <w:r>
        <w:t xml:space="preserve">All rates quoted in this Invoice are exclusive of Value Added Tax (VAT) at the prevailing rate of 5% as mandated by the Federal Tax Authority of the United Arab Emirates. VAT is applied as a separate line item.</w:t>
      </w:r>
    </w:p>
    <w:p>
      <w:pPr>
        <w:numPr>
          <w:ilvl w:val="0"/>
          <w:numId w:val="1001"/>
        </w:numPr>
        <w:pStyle w:val="Compact"/>
      </w:pPr>
      <w:r>
        <w:t xml:space="preserve">The Business Consultant engagement is governed by the Master Service Agreement (MSA-2025-0031) executed between both parties. In the event of any discrepancy between this Invoice and the MSA, the terms of the MSA shall prevail.</w:t>
      </w:r>
    </w:p>
    <w:p>
      <w:pPr>
        <w:numPr>
          <w:ilvl w:val="0"/>
          <w:numId w:val="1001"/>
        </w:numPr>
        <w:pStyle w:val="Compact"/>
      </w:pPr>
      <w:r>
        <w:t xml:space="preserve">All intellectual property, reports, strategic plans, and deliverables produced under this Business Consultant engagement remain the exclusive property of the client upon full and final payment of this Invoice.</w:t>
      </w:r>
    </w:p>
    <w:p>
      <w:pPr>
        <w:numPr>
          <w:ilvl w:val="0"/>
          <w:numId w:val="1001"/>
        </w:numPr>
        <w:pStyle w:val="Compact"/>
      </w:pPr>
      <w:r>
        <w:t xml:space="preserve">Disputes arising from this Invoice or the underlying services shall be resolved through arbitration in Dubai, United Arab Emirates, in accordance with the rules of the Dubai International Arbitration Centre (DIAC).</w:t>
      </w:r>
    </w:p>
    <w:p>
      <w:pPr>
        <w:numPr>
          <w:ilvl w:val="0"/>
          <w:numId w:val="1001"/>
        </w:numPr>
        <w:pStyle w:val="Compact"/>
      </w:pPr>
      <w:r>
        <w:t xml:space="preserve">This Invoice is subject to the laws of the United Arab Emirates and the specific regulations of the Dubai Department of Economy and Tourism governing professional services and consulting engagements.</w:t>
      </w:r>
    </w:p>
    <w:p>
      <w:pPr>
        <w:numPr>
          <w:ilvl w:val="0"/>
          <w:numId w:val="1001"/>
        </w:numPr>
        <w:pStyle w:val="Compact"/>
      </w:pPr>
      <w:r>
        <w:t xml:space="preserve">Strategic Vision Consulting LLC reserves the right to suspend ongoing Business Consultant services if payment of this Invoice is not received within the stipulated due date, subject to a written notice of seven (7) days.</w:t>
      </w:r>
    </w:p>
    <w:p>
      <w:pPr>
        <w:numPr>
          <w:ilvl w:val="0"/>
          <w:numId w:val="1001"/>
        </w:numPr>
        <w:pStyle w:val="Compact"/>
      </w:pPr>
      <w:r>
        <w:t xml:space="preserve">For any queries regarding this Invoice, please contact our billing department at billing@strategicvision.ae or call +971 4 555 0192, Monday to Friday, 9:00 AM to 6:00 PM GST.</w:t>
      </w:r>
    </w:p>
    <w:bookmarkEnd w:id="25"/>
    <w:p>
      <w:pPr>
        <w:pStyle w:val="FirstParagraph"/>
      </w:pPr>
      <w:r>
        <w:t xml:space="preserve">Strategic Vision Consulting LLC | Business Consultant Services | United Arab Emirates Dubai</w:t>
      </w:r>
    </w:p>
    <w:p>
      <w:pPr>
        <w:pStyle w:val="BodyText"/>
      </w:pPr>
      <w:r>
        <w:t xml:space="preserve">Office 1204, Level 12, Burj Khalifa, Downtown Dubai, UAE | TRN: 100234567800003 | CR: 1-00456789</w:t>
      </w:r>
    </w:p>
    <w:p>
      <w:pPr>
        <w:pStyle w:val="BodyText"/>
      </w:pPr>
      <w:r>
        <w:t xml:space="preserve">This is a computer-generated Invoice and does not require a physical signature. It is valid as a legal document under UAE commercial law.</w:t>
      </w:r>
    </w:p>
    <w:p>
      <w:pPr>
        <w:pStyle w:val="BodyText"/>
      </w:pPr>
      <w:r>
        <w:t xml:space="preserve">Page 1 of 1 | Generated on 15 June 2025 | Invoice Reference: SVC-2025-00487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United Arab Emirates Dubai</dc:title>
  <dc:creator/>
  <dc:language>en</dc:language>
  <cp:keywords/>
  <dcterms:created xsi:type="dcterms:W3CDTF">2026-10-10T03:54:53Z</dcterms:created>
  <dcterms:modified xsi:type="dcterms:W3CDTF">2026-10-10T03:54:53Z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