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Business</w:t>
      </w:r>
      <w:r>
        <w:t xml:space="preserve"> </w:t>
      </w:r>
      <w:r>
        <w:t xml:space="preserve">Consultant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meridian-strategy-group-llc"/>
    <w:p>
      <w:pPr>
        <w:pStyle w:val="Heading1"/>
      </w:pPr>
      <w:r>
        <w:t xml:space="preserve">Meridian Strategy Group LLC</w:t>
      </w:r>
    </w:p>
    <w:p>
      <w:pPr>
        <w:pStyle w:val="FirstParagraph"/>
      </w:pPr>
      <w:r>
        <w:t xml:space="preserve">Professional Business Consultant Services</w:t>
      </w:r>
    </w:p>
    <w:p>
      <w:pPr>
        <w:pStyle w:val="BodyText"/>
      </w:pPr>
      <w:r>
        <w:t xml:space="preserve">1500 N. Michigan Avenue, Suite 2200</w:t>
      </w:r>
    </w:p>
    <w:p>
      <w:pPr>
        <w:pStyle w:val="BodyText"/>
      </w:pPr>
      <w:r>
        <w:t xml:space="preserve">Chicago, Illinois 60601, United States</w:t>
      </w:r>
    </w:p>
    <w:p>
      <w:pPr>
        <w:pStyle w:val="BodyText"/>
      </w:pPr>
      <w:r>
        <w:t xml:space="preserve">Tel: (312) 555-0147 | Email: billing@meridianstrategy.com</w:t>
      </w:r>
    </w:p>
    <w:p>
      <w:pPr>
        <w:pStyle w:val="BodyText"/>
      </w:pPr>
      <w:r>
        <w:t xml:space="preserve">EIN: 36-2847193</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MS-2025-0487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w:t>
      </w:r>
    </w:p>
    <w:p>
      <w:pPr>
        <w:pStyle w:val="BodyText"/>
      </w:pPr>
      <w:r>
        <w:rPr>
          <w:bCs/>
          <w:b/>
        </w:rPr>
        <w:t xml:space="preserve">Service Period:</w:t>
      </w:r>
      <w:r>
        <w:t xml:space="preserve"> </w:t>
      </w:r>
      <w:r>
        <w:t xml:space="preserve">May 1 – May 31, 2025</w:t>
      </w:r>
    </w:p>
    <w:p>
      <w:pPr>
        <w:pStyle w:val="BodyText"/>
      </w:pPr>
      <w:r>
        <w:rPr>
          <w:bCs/>
          <w:b/>
        </w:rPr>
        <w:t xml:space="preserve">Location:</w:t>
      </w:r>
      <w:r>
        <w:t xml:space="preserve"> </w:t>
      </w:r>
      <w:r>
        <w:t xml:space="preserve">United States Chicago</w:t>
      </w:r>
    </w:p>
    <w:bookmarkEnd w:id="21"/>
    <w:bookmarkStart w:id="22" w:name="billed-to"/>
    <w:p>
      <w:pPr>
        <w:pStyle w:val="Heading3"/>
      </w:pPr>
      <w:r>
        <w:t xml:space="preserve">BILLED TO</w:t>
      </w:r>
    </w:p>
    <w:p>
      <w:pPr>
        <w:pStyle w:val="FirstParagraph"/>
      </w:pPr>
      <w:r>
        <w:rPr>
          <w:bCs/>
          <w:b/>
        </w:rPr>
        <w:t xml:space="preserve">Northwind Manufacturing Corp.</w:t>
      </w:r>
    </w:p>
    <w:p>
      <w:pPr>
        <w:pStyle w:val="BodyText"/>
      </w:pPr>
      <w:r>
        <w:t xml:space="preserve">Attn: David R. Thompson, Chief Operating Officer</w:t>
      </w:r>
    </w:p>
    <w:p>
      <w:pPr>
        <w:pStyle w:val="BodyText"/>
      </w:pPr>
      <w:r>
        <w:t xml:space="preserve">2847 W. Fulton Market</w:t>
      </w:r>
    </w:p>
    <w:p>
      <w:pPr>
        <w:pStyle w:val="BodyText"/>
      </w:pPr>
      <w:r>
        <w:t xml:space="preserve">Chicago, Illinois 60612, United States</w:t>
      </w:r>
    </w:p>
    <w:p>
      <w:pPr>
        <w:pStyle w:val="BodyText"/>
      </w:pPr>
      <w:r>
        <w:t xml:space="preserve">Tel: (773) 555-0892</w:t>
      </w:r>
    </w:p>
    <w:bookmarkEnd w:id="22"/>
    <w:bookmarkStart w:id="23" w:name="project-details"/>
    <w:p>
      <w:pPr>
        <w:pStyle w:val="Heading3"/>
      </w:pPr>
      <w:r>
        <w:t xml:space="preserve">PROJECT DETAILS</w:t>
      </w:r>
    </w:p>
    <w:p>
      <w:pPr>
        <w:pStyle w:val="FirstParagraph"/>
      </w:pPr>
      <w:r>
        <w:rPr>
          <w:bCs/>
          <w:b/>
        </w:rPr>
        <w:t xml:space="preserve">Project:</w:t>
      </w:r>
      <w:r>
        <w:t xml:space="preserve"> </w:t>
      </w:r>
      <w:r>
        <w:t xml:space="preserve">Operational Efficiency &amp; Market Expansion</w:t>
      </w:r>
    </w:p>
    <w:p>
      <w:pPr>
        <w:pStyle w:val="BodyText"/>
      </w:pPr>
      <w:r>
        <w:rPr>
          <w:bCs/>
          <w:b/>
        </w:rPr>
        <w:t xml:space="preserve">Business Consultant:</w:t>
      </w:r>
      <w:r>
        <w:t xml:space="preserve"> </w:t>
      </w:r>
      <w:r>
        <w:t xml:space="preserve">Sarah K. Mitchell, MBA, PMP</w:t>
      </w:r>
    </w:p>
    <w:p>
      <w:pPr>
        <w:pStyle w:val="BodyText"/>
      </w:pPr>
      <w:r>
        <w:rPr>
          <w:bCs/>
          <w:b/>
        </w:rPr>
        <w:t xml:space="preserve">Engagement Type:</w:t>
      </w:r>
      <w:r>
        <w:t xml:space="preserve"> </w:t>
      </w:r>
      <w:r>
        <w:t xml:space="preserve">Retainer – Monthly</w:t>
      </w:r>
    </w:p>
    <w:p>
      <w:pPr>
        <w:pStyle w:val="BodyText"/>
      </w:pPr>
      <w:r>
        <w:rPr>
          <w:bCs/>
          <w:b/>
        </w:rPr>
        <w:t xml:space="preserve">Contract Ref:</w:t>
      </w:r>
      <w:r>
        <w:t xml:space="preserve"> </w:t>
      </w:r>
      <w:r>
        <w:t xml:space="preserve">MSA-2025-0031</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Business Consultant Services</w:t>
            </w:r>
          </w:p>
        </w:tc>
        <w:tc>
          <w:tcPr/>
          <w:p>
            <w:pPr>
              <w:pStyle w:val="Compact"/>
              <w:jc w:val="left"/>
            </w:pPr>
            <w:r>
              <w:t xml:space="preserve">Hours</w:t>
            </w:r>
          </w:p>
        </w:tc>
        <w:tc>
          <w:tcPr/>
          <w:p>
            <w:pPr>
              <w:pStyle w:val="Compact"/>
              <w:jc w:val="left"/>
            </w:pPr>
            <w:r>
              <w:t xml:space="preserve">Rate</w:t>
            </w:r>
          </w:p>
        </w:tc>
        <w:tc>
          <w:tcPr/>
          <w:p>
            <w:pPr>
              <w:pStyle w:val="Compact"/>
              <w:jc w:val="left"/>
            </w:pPr>
            <w:r>
              <w:t xml:space="preserve">Amount</w:t>
            </w:r>
          </w:p>
        </w:tc>
        <w:tc>
          <w:tcPr/>
          <w:p>
            <w:pPr>
              <w:pStyle w:val="Compact"/>
              <w:jc w:val="left"/>
            </w:pPr>
            <w:r>
              <w:t xml:space="preserve">Date</w:t>
            </w:r>
          </w:p>
        </w:tc>
      </w:tr>
      <w:tr>
        <w:tc>
          <w:tcPr/>
          <w:p>
            <w:pPr>
              <w:pStyle w:val="Compact"/>
              <w:jc w:val="left"/>
            </w:pPr>
            <w:r>
              <w:t xml:space="preserve">1</w:t>
            </w:r>
          </w:p>
        </w:tc>
        <w:tc>
          <w:tcPr/>
          <w:p>
            <w:pPr>
              <w:pStyle w:val="Compact"/>
              <w:jc w:val="left"/>
            </w:pPr>
            <w:r>
              <w:t xml:space="preserve">Strategic Business Planning Session – Comprehensive review of Northwind Manufacturing's five-year growth trajectory, competitive positioning analysis, and alignment of departmental objectives with corporate vision. Conducted at client offices in United States Chicago.</w:t>
            </w:r>
          </w:p>
        </w:tc>
        <w:tc>
          <w:tcPr/>
          <w:p>
            <w:pPr>
              <w:pStyle w:val="Compact"/>
              <w:jc w:val="left"/>
            </w:pPr>
            <w:r>
              <w:t xml:space="preserve">8.0</w:t>
            </w:r>
          </w:p>
        </w:tc>
        <w:tc>
          <w:tcPr/>
          <w:p>
            <w:pPr>
              <w:pStyle w:val="Compact"/>
              <w:jc w:val="left"/>
            </w:pPr>
            <w:r>
              <w:t xml:space="preserve">$225.00</w:t>
            </w:r>
          </w:p>
        </w:tc>
        <w:tc>
          <w:tcPr/>
          <w:p>
            <w:pPr>
              <w:pStyle w:val="Compact"/>
              <w:jc w:val="left"/>
            </w:pPr>
            <w:r>
              <w:t xml:space="preserve">$1,800.00</w:t>
            </w:r>
          </w:p>
        </w:tc>
        <w:tc>
          <w:tcPr/>
          <w:p>
            <w:pPr>
              <w:pStyle w:val="Compact"/>
              <w:jc w:val="left"/>
            </w:pPr>
            <w:r>
              <w:t xml:space="preserve">May 2, 2025</w:t>
            </w:r>
          </w:p>
        </w:tc>
      </w:tr>
      <w:tr>
        <w:tc>
          <w:tcPr/>
          <w:p>
            <w:pPr>
              <w:pStyle w:val="Compact"/>
              <w:jc w:val="left"/>
            </w:pPr>
            <w:r>
              <w:t xml:space="preserve">2</w:t>
            </w:r>
          </w:p>
        </w:tc>
        <w:tc>
          <w:tcPr/>
          <w:p>
            <w:pPr>
              <w:pStyle w:val="Compact"/>
              <w:jc w:val="left"/>
            </w:pPr>
            <w:r>
              <w:t xml:space="preserve">Operational Process Audit – Detailed assessment of supply chain logistics, production floor workflows, and quality control procedures. The Business Consultant identified seventeen areas of inefficiency and drafted a prioritized remediation roadmap for executive review.</w:t>
            </w:r>
          </w:p>
        </w:tc>
        <w:tc>
          <w:tcPr/>
          <w:p>
            <w:pPr>
              <w:pStyle w:val="Compact"/>
              <w:jc w:val="left"/>
            </w:pPr>
            <w:r>
              <w:t xml:space="preserve">12.0</w:t>
            </w:r>
          </w:p>
        </w:tc>
        <w:tc>
          <w:tcPr/>
          <w:p>
            <w:pPr>
              <w:pStyle w:val="Compact"/>
              <w:jc w:val="left"/>
            </w:pPr>
            <w:r>
              <w:t xml:space="preserve">$225.00</w:t>
            </w:r>
          </w:p>
        </w:tc>
        <w:tc>
          <w:tcPr/>
          <w:p>
            <w:pPr>
              <w:pStyle w:val="Compact"/>
              <w:jc w:val="left"/>
            </w:pPr>
            <w:r>
              <w:t xml:space="preserve">$2,700.00</w:t>
            </w:r>
          </w:p>
        </w:tc>
        <w:tc>
          <w:tcPr/>
          <w:p>
            <w:pPr>
              <w:pStyle w:val="Compact"/>
              <w:jc w:val="left"/>
            </w:pPr>
            <w:r>
              <w:t xml:space="preserve">May 7–9, 2025</w:t>
            </w:r>
          </w:p>
        </w:tc>
      </w:tr>
      <w:tr>
        <w:tc>
          <w:tcPr/>
          <w:p>
            <w:pPr>
              <w:pStyle w:val="Compact"/>
              <w:jc w:val="left"/>
            </w:pPr>
            <w:r>
              <w:t xml:space="preserve">3</w:t>
            </w:r>
          </w:p>
        </w:tc>
        <w:tc>
          <w:tcPr/>
          <w:p>
            <w:pPr>
              <w:pStyle w:val="Compact"/>
              <w:jc w:val="left"/>
            </w:pPr>
            <w:r>
              <w:t xml:space="preserve">Market Expansion Feasibility Study – Research and analysis of potential entry into the Midwest industrial equipment sector. Includes demographic data compilation, competitor benchmarking, regulatory compliance review for Illinois and surrounding states, and projected revenue modeling.</w:t>
            </w:r>
          </w:p>
        </w:tc>
        <w:tc>
          <w:tcPr/>
          <w:p>
            <w:pPr>
              <w:pStyle w:val="Compact"/>
              <w:jc w:val="left"/>
            </w:pPr>
            <w:r>
              <w:t xml:space="preserve">16.0</w:t>
            </w:r>
          </w:p>
        </w:tc>
        <w:tc>
          <w:tcPr/>
          <w:p>
            <w:pPr>
              <w:pStyle w:val="Compact"/>
              <w:jc w:val="left"/>
            </w:pPr>
            <w:r>
              <w:t xml:space="preserve">$225.00</w:t>
            </w:r>
          </w:p>
        </w:tc>
        <w:tc>
          <w:tcPr/>
          <w:p>
            <w:pPr>
              <w:pStyle w:val="Compact"/>
              <w:jc w:val="left"/>
            </w:pPr>
            <w:r>
              <w:t xml:space="preserve">$3,600.00</w:t>
            </w:r>
          </w:p>
        </w:tc>
        <w:tc>
          <w:tcPr/>
          <w:p>
            <w:pPr>
              <w:pStyle w:val="Compact"/>
              <w:jc w:val="left"/>
            </w:pPr>
            <w:r>
              <w:t xml:space="preserve">May 12–16, 2025</w:t>
            </w:r>
          </w:p>
        </w:tc>
      </w:tr>
      <w:tr>
        <w:tc>
          <w:tcPr/>
          <w:p>
            <w:pPr>
              <w:pStyle w:val="Compact"/>
              <w:jc w:val="left"/>
            </w:pPr>
            <w:r>
              <w:t xml:space="preserve">4</w:t>
            </w:r>
          </w:p>
        </w:tc>
        <w:tc>
          <w:tcPr/>
          <w:p>
            <w:pPr>
              <w:pStyle w:val="Compact"/>
              <w:jc w:val="left"/>
            </w:pPr>
            <w:r>
              <w:t xml:space="preserve">Executive Leadership Workshop – Facilitated a full-day strategic workshop for the C-suite and VP-level leadership team. Focused on change management frameworks, cross-departmental collaboration strategies, and KPI development. Held at Meridian Strategy Group offices in United States Chicago.</w:t>
            </w:r>
          </w:p>
        </w:tc>
        <w:tc>
          <w:tcPr/>
          <w:p>
            <w:pPr>
              <w:pStyle w:val="Compact"/>
              <w:jc w:val="left"/>
            </w:pPr>
            <w:r>
              <w:t xml:space="preserve">10.0</w:t>
            </w:r>
          </w:p>
        </w:tc>
        <w:tc>
          <w:tcPr/>
          <w:p>
            <w:pPr>
              <w:pStyle w:val="Compact"/>
              <w:jc w:val="left"/>
            </w:pPr>
            <w:r>
              <w:t xml:space="preserve">$250.00</w:t>
            </w:r>
          </w:p>
        </w:tc>
        <w:tc>
          <w:tcPr/>
          <w:p>
            <w:pPr>
              <w:pStyle w:val="Compact"/>
              <w:jc w:val="left"/>
            </w:pPr>
            <w:r>
              <w:t xml:space="preserve">$2,500.00</w:t>
            </w:r>
          </w:p>
        </w:tc>
        <w:tc>
          <w:tcPr/>
          <w:p>
            <w:pPr>
              <w:pStyle w:val="Compact"/>
              <w:jc w:val="left"/>
            </w:pPr>
            <w:r>
              <w:t xml:space="preserve">May 20, 2025</w:t>
            </w:r>
          </w:p>
        </w:tc>
      </w:tr>
      <w:tr>
        <w:tc>
          <w:tcPr/>
          <w:p>
            <w:pPr>
              <w:pStyle w:val="Compact"/>
              <w:jc w:val="left"/>
            </w:pPr>
            <w:r>
              <w:t xml:space="preserve">5</w:t>
            </w:r>
          </w:p>
        </w:tc>
        <w:tc>
          <w:tcPr/>
          <w:p>
            <w:pPr>
              <w:pStyle w:val="Compact"/>
              <w:jc w:val="left"/>
            </w:pPr>
            <w:r>
              <w:t xml:space="preserve">Financial Modeling &amp; Budget Advisory – Development of revised annual operating budget incorporating cost-reduction recommendations from the operational audit. Includes scenario analysis (conservative, moderate, aggressive) and cash flow projections for the next four fiscal quarters.</w:t>
            </w:r>
          </w:p>
        </w:tc>
        <w:tc>
          <w:tcPr/>
          <w:p>
            <w:pPr>
              <w:pStyle w:val="Compact"/>
              <w:jc w:val="left"/>
            </w:pPr>
            <w:r>
              <w:t xml:space="preserve">10.0</w:t>
            </w:r>
          </w:p>
        </w:tc>
        <w:tc>
          <w:tcPr/>
          <w:p>
            <w:pPr>
              <w:pStyle w:val="Compact"/>
              <w:jc w:val="left"/>
            </w:pPr>
            <w:r>
              <w:t xml:space="preserve">$225.00</w:t>
            </w:r>
          </w:p>
        </w:tc>
        <w:tc>
          <w:tcPr/>
          <w:p>
            <w:pPr>
              <w:pStyle w:val="Compact"/>
              <w:jc w:val="left"/>
            </w:pPr>
            <w:r>
              <w:t xml:space="preserve">$2,250.00</w:t>
            </w:r>
          </w:p>
        </w:tc>
        <w:tc>
          <w:tcPr/>
          <w:p>
            <w:pPr>
              <w:pStyle w:val="Compact"/>
              <w:jc w:val="left"/>
            </w:pPr>
            <w:r>
              <w:t xml:space="preserve">May 22–23, 2025</w:t>
            </w:r>
          </w:p>
        </w:tc>
      </w:tr>
      <w:tr>
        <w:tc>
          <w:tcPr/>
          <w:p>
            <w:pPr>
              <w:pStyle w:val="Compact"/>
              <w:jc w:val="left"/>
            </w:pPr>
            <w:r>
              <w:t xml:space="preserve">6</w:t>
            </w:r>
          </w:p>
        </w:tc>
        <w:tc>
          <w:tcPr/>
          <w:p>
            <w:pPr>
              <w:pStyle w:val="Compact"/>
              <w:jc w:val="left"/>
            </w:pPr>
            <w:r>
              <w:t xml:space="preserve">Vendor &amp; Contract Review – Evaluation of existing supplier agreements, negotiation strategy development, and identification of consolidation opportunities. The Business Consultant prepared a comparative cost-benefit matrix for the procurement team.</w:t>
            </w:r>
          </w:p>
        </w:tc>
        <w:tc>
          <w:tcPr/>
          <w:p>
            <w:pPr>
              <w:pStyle w:val="Compact"/>
              <w:jc w:val="left"/>
            </w:pPr>
            <w:r>
              <w:t xml:space="preserve">6.0</w:t>
            </w:r>
          </w:p>
        </w:tc>
        <w:tc>
          <w:tcPr/>
          <w:p>
            <w:pPr>
              <w:pStyle w:val="Compact"/>
              <w:jc w:val="left"/>
            </w:pPr>
            <w:r>
              <w:t xml:space="preserve">$225.00</w:t>
            </w:r>
          </w:p>
        </w:tc>
        <w:tc>
          <w:tcPr/>
          <w:p>
            <w:pPr>
              <w:pStyle w:val="Compact"/>
              <w:jc w:val="left"/>
            </w:pPr>
            <w:r>
              <w:t xml:space="preserve">$1,350.00</w:t>
            </w:r>
          </w:p>
        </w:tc>
        <w:tc>
          <w:tcPr/>
          <w:p>
            <w:pPr>
              <w:pStyle w:val="Compact"/>
              <w:jc w:val="left"/>
            </w:pPr>
            <w:r>
              <w:t xml:space="preserve">May 27, 2025</w:t>
            </w:r>
          </w:p>
        </w:tc>
      </w:tr>
      <w:tr>
        <w:tc>
          <w:tcPr/>
          <w:p>
            <w:pPr>
              <w:pStyle w:val="Compact"/>
              <w:jc w:val="left"/>
            </w:pPr>
            <w:r>
              <w:t xml:space="preserve">7</w:t>
            </w:r>
          </w:p>
        </w:tc>
        <w:tc>
          <w:tcPr/>
          <w:p>
            <w:pPr>
              <w:pStyle w:val="Compact"/>
              <w:jc w:val="left"/>
            </w:pPr>
            <w:r>
              <w:t xml:space="preserve">Monthly Progress Report &amp; Client Communication – Compilation of all deliverables, findings, and action items into a formal monthly report. Includes a 90-minute video conference with the project sponsor to review progress against the engagement timeline.</w:t>
            </w:r>
          </w:p>
        </w:tc>
        <w:tc>
          <w:tcPr/>
          <w:p>
            <w:pPr>
              <w:pStyle w:val="Compact"/>
              <w:jc w:val="left"/>
            </w:pPr>
            <w:r>
              <w:t xml:space="preserve">4.0</w:t>
            </w:r>
          </w:p>
        </w:tc>
        <w:tc>
          <w:tcPr/>
          <w:p>
            <w:pPr>
              <w:pStyle w:val="Compact"/>
              <w:jc w:val="left"/>
            </w:pPr>
            <w:r>
              <w:t xml:space="preserve">$200.00</w:t>
            </w:r>
          </w:p>
        </w:tc>
        <w:tc>
          <w:tcPr/>
          <w:p>
            <w:pPr>
              <w:pStyle w:val="Compact"/>
              <w:jc w:val="left"/>
            </w:pPr>
            <w:r>
              <w:t xml:space="preserve">$800.00</w:t>
            </w:r>
          </w:p>
        </w:tc>
        <w:tc>
          <w:tcPr/>
          <w:p>
            <w:pPr>
              <w:pStyle w:val="Compact"/>
              <w:jc w:val="left"/>
            </w:pPr>
            <w:r>
              <w:t xml:space="preserve">May 30,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$15,000.00</w:t>
            </w:r>
          </w:p>
        </w:tc>
      </w:tr>
      <w:tr>
        <w:tc>
          <w:tcPr/>
          <w:p>
            <w:pPr>
              <w:pStyle w:val="Compact"/>
              <w:jc w:val="left"/>
            </w:pPr>
            <w:r>
              <w:t xml:space="preserve">Applicable Discount (Retainer Agreement)</w:t>
            </w:r>
          </w:p>
        </w:tc>
        <w:tc>
          <w:tcPr/>
          <w:p>
            <w:pPr>
              <w:pStyle w:val="Compact"/>
              <w:jc w:val="right"/>
            </w:pPr>
            <w:r>
              <w:t xml:space="preserve">($500.00)</w:t>
            </w:r>
          </w:p>
        </w:tc>
      </w:tr>
      <w:tr>
        <w:tc>
          <w:tcPr/>
          <w:p>
            <w:pPr>
              <w:pStyle w:val="Compact"/>
              <w:jc w:val="left"/>
            </w:pPr>
            <w:r>
              <w:t xml:space="preserve">Illinois State Sales Tax (6.25%)</w:t>
            </w:r>
          </w:p>
        </w:tc>
        <w:tc>
          <w:tcPr/>
          <w:p>
            <w:pPr>
              <w:pStyle w:val="Compact"/>
              <w:jc w:val="right"/>
            </w:pPr>
            <w:r>
              <w:t xml:space="preserve">$881.25</w:t>
            </w:r>
          </w:p>
        </w:tc>
      </w:tr>
      <w:tr>
        <w:tc>
          <w:tcPr/>
          <w:p>
            <w:pPr>
              <w:pStyle w:val="Compact"/>
              <w:jc w:val="left"/>
            </w:pPr>
            <w:r>
              <w:t xml:space="preserve">Chicago Municipal Tax (2.5%)</w:t>
            </w:r>
          </w:p>
        </w:tc>
        <w:tc>
          <w:tcPr/>
          <w:p>
            <w:pPr>
              <w:pStyle w:val="Compact"/>
              <w:jc w:val="right"/>
            </w:pPr>
            <w:r>
              <w:t xml:space="preserve">$356.25</w:t>
            </w:r>
          </w:p>
        </w:tc>
      </w:tr>
      <w:tr>
        <w:tc>
          <w:tcPr/>
          <w:p>
            <w:pPr>
              <w:pStyle w:val="Compact"/>
              <w:jc w:val="left"/>
            </w:pPr>
            <w:r>
              <w:t xml:space="preserve">GRAND TOTAL DUE</w:t>
            </w:r>
          </w:p>
        </w:tc>
        <w:tc>
          <w:tcPr/>
          <w:p>
            <w:pPr>
              <w:pStyle w:val="Compact"/>
              <w:jc w:val="right"/>
            </w:pPr>
            <w:r>
              <w:t xml:space="preserve">$15,737.50</w:t>
            </w:r>
          </w:p>
        </w:tc>
      </w:tr>
    </w:tbl>
    <w:bookmarkStart w:id="24" w:name="payment-terms-conditions"/>
    <w:p>
      <w:pPr>
        <w:pStyle w:val="Heading3"/>
      </w:pPr>
      <w:r>
        <w:t xml:space="preserve">Payment Terms &amp; Conditions</w:t>
      </w:r>
    </w:p>
    <w:p>
      <w:pPr>
        <w:pStyle w:val="FirstParagraph"/>
      </w:pPr>
      <w:r>
        <w:t xml:space="preserve">This Invoice is issued by Meridian Strategy Group LLC, a licensed Business Consultant firm operating in United States Chicago, in accordance with the Master Services Agreement (MSA-2025-0031) executed between the parties on January 15, 2025. Payment of the full amount of $15,737.50 is due within thirty (30) calendar days of the Invoice date, no later than July 12, 2025.</w:t>
      </w:r>
    </w:p>
    <w:p>
      <w:pPr>
        <w:pStyle w:val="BodyText"/>
      </w:pPr>
      <w:r>
        <w:t xml:space="preserve">Accepted payment methods include wire transfer to the bank account on file, ACH debit, or certified check payable to Meridian Strategy Group LLC. All payments must be made in U.S. Dollars. Please reference Invoice Number MS-2025-0487 in the memo field of your payment to ensure proper reconciliation.</w:t>
      </w:r>
    </w:p>
    <w:p>
      <w:pPr>
        <w:numPr>
          <w:ilvl w:val="0"/>
          <w:numId w:val="1001"/>
        </w:numPr>
        <w:pStyle w:val="Compact"/>
      </w:pPr>
      <w:r>
        <w:rPr>
          <w:bCs/>
          <w:b/>
        </w:rPr>
        <w:t xml:space="preserve">Late Payment:</w:t>
      </w:r>
      <w:r>
        <w:t xml:space="preserve"> </w:t>
      </w:r>
      <w:r>
        <w:t xml:space="preserve">A late fee of 1.5% per month (18% annualized) will be applied to any balance remaining unpaid after the due date, in compliance with Illinois commercial code provisions applicable to Business Consultant engagements in United States Chicago.</w:t>
      </w:r>
    </w:p>
    <w:p>
      <w:pPr>
        <w:numPr>
          <w:ilvl w:val="0"/>
          <w:numId w:val="1001"/>
        </w:numPr>
        <w:pStyle w:val="Compact"/>
      </w:pPr>
      <w:r>
        <w:rPr>
          <w:bCs/>
          <w:b/>
        </w:rPr>
        <w:t xml:space="preserve">Disputes:</w:t>
      </w:r>
      <w:r>
        <w:t xml:space="preserve"> </w:t>
      </w:r>
      <w:r>
        <w:t xml:space="preserve">Any discrepancies regarding this Invoice must be submitted in writing to billing@meridianstrategy.com within ten (10) business days of receipt. Undisputed portions remain payable on the original due date.</w:t>
      </w:r>
    </w:p>
    <w:p>
      <w:pPr>
        <w:numPr>
          <w:ilvl w:val="0"/>
          <w:numId w:val="1001"/>
        </w:numPr>
        <w:pStyle w:val="Compact"/>
      </w:pPr>
      <w:r>
        <w:rPr>
          <w:bCs/>
          <w:b/>
        </w:rPr>
        <w:t xml:space="preserve">Tax Compliance:</w:t>
      </w:r>
      <w:r>
        <w:t xml:space="preserve"> </w:t>
      </w:r>
      <w:r>
        <w:t xml:space="preserve">All applicable federal, state (Illinois), and municipal (City of Chicago) taxes have been calculated and included. Meridian Strategy Group LLC is registered with the Illinois Department of Revenue and the City of Chicago Department of Finance for the collection and remittance of sales and use taxes on professional services.</w:t>
      </w:r>
    </w:p>
    <w:p>
      <w:pPr>
        <w:numPr>
          <w:ilvl w:val="0"/>
          <w:numId w:val="1001"/>
        </w:numPr>
        <w:pStyle w:val="Compact"/>
      </w:pPr>
      <w:r>
        <w:rPr>
          <w:bCs/>
          <w:b/>
        </w:rPr>
        <w:t xml:space="preserve">Confidentiality:</w:t>
      </w:r>
      <w:r>
        <w:t xml:space="preserve"> </w:t>
      </w:r>
      <w:r>
        <w:t xml:space="preserve">All deliverables, reports, and financial models produced by the Business Consultant during this engagement period remain the confidential property of Northwind Manufacturing Corp. and are subject to the non-disclosure provisions of the MSA.</w:t>
      </w:r>
    </w:p>
    <w:p>
      <w:pPr>
        <w:numPr>
          <w:ilvl w:val="0"/>
          <w:numId w:val="1001"/>
        </w:numPr>
        <w:pStyle w:val="Compact"/>
      </w:pPr>
      <w:r>
        <w:rPr>
          <w:bCs/>
          <w:b/>
        </w:rPr>
        <w:t xml:space="preserve">Governing Law:</w:t>
      </w:r>
      <w:r>
        <w:t xml:space="preserve"> </w:t>
      </w:r>
      <w:r>
        <w:t xml:space="preserve">This Invoice and the underlying services are governed by the laws of the State of Illinois. Any legal disputes shall be resolved in the Circuit Court of Cook County, United States Chicago, or through binding arbitration as specified in the MSA.</w:t>
      </w:r>
    </w:p>
    <w:p>
      <w:pPr>
        <w:pStyle w:val="FirstParagraph"/>
      </w:pPr>
      <w:r>
        <w:t xml:space="preserve">Thank you for your continued partnership. Meridian Strategy Group LLC is committed to delivering exceptional Business Consultant services that drive measurable results for our clients in United States Chicago and beyond. Should you have any questions regarding this Invoice or the services rendered, please contact our billing department at (312) 555-0147 or via email at billing@meridianstrategy.com during regular business hours, Monday through Friday, 8:00 AM to 6:00 PM Central Time.</w:t>
      </w:r>
    </w:p>
    <w:bookmarkEnd w:id="24"/>
    <w:p>
      <w:pPr>
        <w:pStyle w:val="BodyText"/>
      </w:pPr>
      <w:r>
        <w:t xml:space="preserve">Meridian Strategy Group LLC | 1500 N. Michigan Avenue, Suite 2200, Chicago, IL 60601, United States</w:t>
      </w:r>
    </w:p>
    <w:p>
      <w:pPr>
        <w:pStyle w:val="BodyText"/>
      </w:pPr>
      <w:r>
        <w:t xml:space="preserve">Invoice MS-2025-0487 | Generated: June 12, 2025 | Page 1 of 1</w:t>
      </w:r>
    </w:p>
    <w:p>
      <w:pPr>
        <w:pStyle w:val="BodyText"/>
      </w:pPr>
      <w:r>
        <w:t xml:space="preserve">This is an electronically generated Invoice and does not require a physical signature to be valid.</w:t>
      </w:r>
    </w:p>
    <w:p>
      <w:pPr>
        <w:pStyle w:val="BodyText"/>
      </w:pPr>
      <w:r>
        <w:t xml:space="preserve">PAYMENT DUE BY JULY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Business Consultant Services - United States Chicago</dc:title>
  <dc:creator/>
  <dc:language>en</dc:language>
  <cp:keywords/>
  <dcterms:created xsi:type="dcterms:W3CDTF">2026-10-10T02:03:59Z</dcterms:created>
  <dcterms:modified xsi:type="dcterms:W3CDTF">2026-10-10T02:03:59Z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