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Business Consultant Services</w:t>
      </w:r>
    </w:p>
    <w:p>
      <w:pPr>
        <w:pStyle w:val="BodyText"/>
      </w:pPr>
      <w:r>
        <w:t xml:space="preserve">Strategic Advisory &amp; Corporate Consulting</w:t>
      </w:r>
    </w:p>
    <w:p>
      <w:pPr>
        <w:pStyle w:val="BodyText"/>
      </w:pPr>
      <w:r>
        <w:t xml:space="preserve">Miami, Florida — United States</w:t>
      </w:r>
    </w:p>
    <w:p>
      <w:pPr>
        <w:pStyle w:val="BodyText"/>
      </w:pPr>
      <w:r>
        <w:t xml:space="preserve">INVOICE NO. MC-2025-0487</w:t>
      </w:r>
    </w:p>
    <w:bookmarkEnd w:id="20"/>
    <w:p>
      <w:pPr>
        <w:pStyle w:val="BodyText"/>
      </w:pPr>
      <w:r>
        <w:rPr>
          <w:bCs/>
          <w:b/>
        </w:rPr>
        <w:t xml:space="preserve">FROM (Service Provider):</w:t>
      </w:r>
      <w:r>
        <w:t xml:space="preserve"> </w:t>
      </w:r>
      <w:r>
        <w:t xml:space="preserve">Meridian Consulting Group, LLC</w:t>
      </w:r>
      <w:r>
        <w:br/>
      </w:r>
      <w:r>
        <w:t xml:space="preserve">3300 Brickell Avenue, Suite 2100</w:t>
      </w:r>
      <w:r>
        <w:br/>
      </w:r>
      <w:r>
        <w:t xml:space="preserve">Miami, FL 33131</w:t>
      </w:r>
      <w:r>
        <w:br/>
      </w:r>
      <w:r>
        <w:t xml:space="preserve">United States</w:t>
      </w:r>
      <w:r>
        <w:br/>
      </w:r>
      <w:r>
        <w:t xml:space="preserve">Phone: (305) 555-0142</w:t>
      </w:r>
      <w:r>
        <w:br/>
      </w:r>
      <w:r>
        <w:t xml:space="preserve">Email: billing@meridianconsulting.com</w:t>
      </w:r>
      <w:r>
        <w:br/>
      </w:r>
      <w:r>
        <w:t xml:space="preserve">EIN: 82-4471903</w:t>
      </w:r>
    </w:p>
    <w:p>
      <w:pPr>
        <w:pStyle w:val="BodyText"/>
      </w:pPr>
      <w:r>
        <w:rPr>
          <w:bCs/>
          <w:b/>
        </w:rPr>
        <w:t xml:space="preserve">BILL TO (Client):</w:t>
      </w:r>
      <w:r>
        <w:t xml:space="preserve"> </w:t>
      </w:r>
      <w:r>
        <w:t xml:space="preserve">Atlantic Horizon Holdings, Inc.</w:t>
      </w:r>
      <w:r>
        <w:br/>
      </w:r>
      <w:r>
        <w:t xml:space="preserve">1200 Biscayne Boulevard, Floor 14</w:t>
      </w:r>
      <w:r>
        <w:br/>
      </w:r>
      <w:r>
        <w:t xml:space="preserve">Miami, FL 33132</w:t>
      </w:r>
      <w:r>
        <w:br/>
      </w:r>
      <w:r>
        <w:t xml:space="preserve">United States</w:t>
      </w:r>
      <w:r>
        <w:br/>
      </w:r>
      <w:r>
        <w:t xml:space="preserve">Attn: Mr. David R. Castellanos, CEO</w:t>
      </w:r>
      <w:r>
        <w:br/>
      </w:r>
      <w:r>
        <w:t xml:space="preserve">Phone: (305) 555-0789</w:t>
      </w:r>
      <w:r>
        <w:br/>
      </w:r>
      <w:r>
        <w:t xml:space="preserve">Email: d.castellanos@atlantichorizon.com</w:t>
      </w:r>
    </w:p>
    <w:p>
      <w:pPr>
        <w:pStyle w:val="BodyText"/>
      </w:pPr>
      <w:r>
        <w:rPr>
          <w:bCs/>
          <w:b/>
        </w:rPr>
        <w:t xml:space="preserve">INVOICE DETAILS:</w:t>
      </w:r>
      <w:r>
        <w:t xml:space="preserve"> </w:t>
      </w:r>
      <w:r>
        <w:t xml:space="preserve">Invoice Date: June 12, 2025</w:t>
      </w:r>
      <w:r>
        <w:br/>
      </w:r>
      <w:r>
        <w:t xml:space="preserve">Due Date: July 12, 2025</w:t>
      </w:r>
      <w:r>
        <w:br/>
      </w:r>
      <w:r>
        <w:t xml:space="preserve">Service Period: May 1 – May 31, 2025</w:t>
      </w:r>
      <w:r>
        <w:br/>
      </w:r>
      <w:r>
        <w:t xml:space="preserve">Payment Terms: Net 30</w:t>
      </w:r>
      <w:r>
        <w:br/>
      </w:r>
      <w:r>
        <w:t xml:space="preserve">Currency: USD ($)</w:t>
      </w:r>
    </w:p>
    <w:bookmarkStart w:id="21" w:name="X2ed4bd363a86fcb766a62dae3a1642fbdb70e6e"/>
    <w:p>
      <w:pPr>
        <w:pStyle w:val="Heading2"/>
      </w:pPr>
      <w:r>
        <w:t xml:space="preserve">Description of Business Consultant Services Rendered</w:t>
      </w:r>
    </w:p>
    <w:p>
      <w:pPr>
        <w:pStyle w:val="FirstParagraph"/>
      </w:pPr>
      <w:r>
        <w:t xml:space="preserve">The following Invoice reflects professional Business Consultant services delivered by Meridian Consulting Group, LLC to Atlantic Horizon Holdings, Inc. during the service period indicated above. All consulting engagements were conducted in compliance with applicable regulations in Miami, Florida, and the broader United States jurisdiction. The Business Consultant team provided strategic advisory, operational analysis, and market positioning guidance tailored to the client's business objectives in the Miami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Strategic Business Planning &amp; Market Entry Analysis for Miami, Florida commercial real estate portfolio. Business Consultant conducted comprehensive SWOT analysis and competitive landscape review.</w:t>
            </w:r>
          </w:p>
        </w:tc>
        <w:tc>
          <w:tcPr/>
          <w:p>
            <w:pPr>
              <w:pStyle w:val="Compact"/>
              <w:jc w:val="left"/>
            </w:pPr>
            <w:r>
              <w:t xml:space="preserve">May 1–3, 2025</w:t>
            </w:r>
          </w:p>
        </w:tc>
        <w:tc>
          <w:tcPr/>
          <w:p>
            <w:pPr>
              <w:pStyle w:val="Compact"/>
              <w:jc w:val="left"/>
            </w:pPr>
            <w:r>
              <w:t xml:space="preserve">24</w:t>
            </w:r>
          </w:p>
        </w:tc>
        <w:tc>
          <w:tcPr/>
          <w:p>
            <w:pPr>
              <w:pStyle w:val="Compact"/>
              <w:jc w:val="left"/>
            </w:pPr>
            <w:r>
              <w:t xml:space="preserve">$275.00</w:t>
            </w:r>
          </w:p>
        </w:tc>
        <w:tc>
          <w:tcPr/>
          <w:p>
            <w:pPr>
              <w:pStyle w:val="Compact"/>
              <w:jc w:val="left"/>
            </w:pPr>
            <w:r>
              <w:t xml:space="preserve">$6,600.00</w:t>
            </w:r>
          </w:p>
        </w:tc>
      </w:tr>
      <w:tr>
        <w:tc>
          <w:tcPr/>
          <w:p>
            <w:pPr>
              <w:pStyle w:val="Compact"/>
              <w:jc w:val="left"/>
            </w:pPr>
            <w:r>
              <w:t xml:space="preserve">2</w:t>
            </w:r>
          </w:p>
        </w:tc>
        <w:tc>
          <w:tcPr/>
          <w:p>
            <w:pPr>
              <w:pStyle w:val="Compact"/>
              <w:jc w:val="left"/>
            </w:pPr>
            <w:r>
              <w:t xml:space="preserve">Operational Efficiency Audit &amp; Process Optimization. The Business Consultant team evaluated supply chain logistics, internal workflows, and vendor management across three Miami-based facilities.</w:t>
            </w:r>
          </w:p>
        </w:tc>
        <w:tc>
          <w:tcPr/>
          <w:p>
            <w:pPr>
              <w:pStyle w:val="Compact"/>
              <w:jc w:val="left"/>
            </w:pPr>
            <w:r>
              <w:t xml:space="preserve">May 6–9, 2025</w:t>
            </w:r>
          </w:p>
        </w:tc>
        <w:tc>
          <w:tcPr/>
          <w:p>
            <w:pPr>
              <w:pStyle w:val="Compact"/>
              <w:jc w:val="left"/>
            </w:pPr>
            <w:r>
              <w:t xml:space="preserve">32</w:t>
            </w:r>
          </w:p>
        </w:tc>
        <w:tc>
          <w:tcPr/>
          <w:p>
            <w:pPr>
              <w:pStyle w:val="Compact"/>
              <w:jc w:val="left"/>
            </w:pPr>
            <w:r>
              <w:t xml:space="preserve">$275.00</w:t>
            </w:r>
          </w:p>
        </w:tc>
        <w:tc>
          <w:tcPr/>
          <w:p>
            <w:pPr>
              <w:pStyle w:val="Compact"/>
              <w:jc w:val="left"/>
            </w:pPr>
            <w:r>
              <w:t xml:space="preserve">$8,800.00</w:t>
            </w:r>
          </w:p>
        </w:tc>
      </w:tr>
      <w:tr>
        <w:tc>
          <w:tcPr/>
          <w:p>
            <w:pPr>
              <w:pStyle w:val="Compact"/>
              <w:jc w:val="left"/>
            </w:pPr>
            <w:r>
              <w:t xml:space="preserve">3</w:t>
            </w:r>
          </w:p>
        </w:tc>
        <w:tc>
          <w:tcPr/>
          <w:p>
            <w:pPr>
              <w:pStyle w:val="Compact"/>
              <w:jc w:val="left"/>
            </w:pPr>
            <w:r>
              <w:t xml:space="preserve">Financial Modeling &amp; Revenue Forecasting for FY2026. Prepared detailed cash flow projections, break-even analysis, and capital allocation recommendations for the United States Miami market expansion.</w:t>
            </w:r>
          </w:p>
        </w:tc>
        <w:tc>
          <w:tcPr/>
          <w:p>
            <w:pPr>
              <w:pStyle w:val="Compact"/>
              <w:jc w:val="left"/>
            </w:pPr>
            <w:r>
              <w:t xml:space="preserve">May 12–15, 2025</w:t>
            </w:r>
          </w:p>
        </w:tc>
        <w:tc>
          <w:tcPr/>
          <w:p>
            <w:pPr>
              <w:pStyle w:val="Compact"/>
              <w:jc w:val="left"/>
            </w:pPr>
            <w:r>
              <w:t xml:space="preserve">20</w:t>
            </w:r>
          </w:p>
        </w:tc>
        <w:tc>
          <w:tcPr/>
          <w:p>
            <w:pPr>
              <w:pStyle w:val="Compact"/>
              <w:jc w:val="left"/>
            </w:pPr>
            <w:r>
              <w:t xml:space="preserve">$310.00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Executive Leadership Development Workshop. Business Consultant facilitated a two-day intensive program for the C-suite leadership team, focusing on change management and digital transformation strategy.</w:t>
            </w:r>
          </w:p>
        </w:tc>
        <w:tc>
          <w:tcPr/>
          <w:p>
            <w:pPr>
              <w:pStyle w:val="Compact"/>
              <w:jc w:val="left"/>
            </w:pPr>
            <w:r>
              <w:t xml:space="preserve">May 19–20, 2025</w:t>
            </w:r>
          </w:p>
        </w:tc>
        <w:tc>
          <w:tcPr/>
          <w:p>
            <w:pPr>
              <w:pStyle w:val="Compact"/>
              <w:jc w:val="left"/>
            </w:pPr>
            <w:r>
              <w:t xml:space="preserve">16</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Regulatory Compliance Review &amp; Risk Assessment. Ensured alignment with Florida state business regulations, Miami-Dade County ordinances, and federal United States compliance standards for multi-state operations.</w:t>
            </w:r>
          </w:p>
        </w:tc>
        <w:tc>
          <w:tcPr/>
          <w:p>
            <w:pPr>
              <w:pStyle w:val="Compact"/>
              <w:jc w:val="left"/>
            </w:pPr>
            <w:r>
              <w:t xml:space="preserve">May 22–23, 2025</w:t>
            </w:r>
          </w:p>
        </w:tc>
        <w:tc>
          <w:tcPr/>
          <w:p>
            <w:pPr>
              <w:pStyle w:val="Compact"/>
              <w:jc w:val="left"/>
            </w:pPr>
            <w:r>
              <w:t xml:space="preserve">12</w:t>
            </w:r>
          </w:p>
        </w:tc>
        <w:tc>
          <w:tcPr/>
          <w:p>
            <w:pPr>
              <w:pStyle w:val="Compact"/>
              <w:jc w:val="left"/>
            </w:pPr>
            <w:r>
              <w:t xml:space="preserve">$295.00</w:t>
            </w:r>
          </w:p>
        </w:tc>
        <w:tc>
          <w:tcPr/>
          <w:p>
            <w:pPr>
              <w:pStyle w:val="Compact"/>
              <w:jc w:val="left"/>
            </w:pPr>
            <w:r>
              <w:t xml:space="preserve">$3,540.00</w:t>
            </w:r>
          </w:p>
        </w:tc>
      </w:tr>
      <w:tr>
        <w:tc>
          <w:tcPr/>
          <w:p>
            <w:pPr>
              <w:pStyle w:val="Compact"/>
              <w:jc w:val="left"/>
            </w:pPr>
            <w:r>
              <w:t xml:space="preserve">6</w:t>
            </w:r>
          </w:p>
        </w:tc>
        <w:tc>
          <w:tcPr/>
          <w:p>
            <w:pPr>
              <w:pStyle w:val="Compact"/>
              <w:jc w:val="left"/>
            </w:pPr>
            <w:r>
              <w:t xml:space="preserve">Final Consulting Report, Executive Summary, and Strategic Roadmap Delivery. Comprehensive 85-page Business Consultant report with actionable recommendations for the next 24-month growth cycle in the United States Miami corridor.</w:t>
            </w:r>
          </w:p>
        </w:tc>
        <w:tc>
          <w:tcPr/>
          <w:p>
            <w:pPr>
              <w:pStyle w:val="Compact"/>
              <w:jc w:val="left"/>
            </w:pPr>
            <w:r>
              <w:t xml:space="preserve">May 27–31, 2025</w:t>
            </w:r>
          </w:p>
        </w:tc>
        <w:tc>
          <w:tcPr/>
          <w:p>
            <w:pPr>
              <w:pStyle w:val="Compact"/>
              <w:jc w:val="left"/>
            </w:pPr>
            <w:r>
              <w:t xml:space="preserve">18</w:t>
            </w:r>
          </w:p>
        </w:tc>
        <w:tc>
          <w:tcPr/>
          <w:p>
            <w:pPr>
              <w:pStyle w:val="Compact"/>
              <w:jc w:val="left"/>
            </w:pPr>
            <w:r>
              <w:t xml:space="preserve">$275.00</w:t>
            </w:r>
          </w:p>
        </w:tc>
        <w:tc>
          <w:tcPr/>
          <w:p>
            <w:pPr>
              <w:pStyle w:val="Compact"/>
              <w:jc w:val="left"/>
            </w:pPr>
            <w:r>
              <w:t xml:space="preserve">$4,950.00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$35,690.00</w:t>
            </w:r>
          </w:p>
        </w:tc>
      </w:tr>
      <w:tr>
        <w:tc>
          <w:tcPr/>
          <w:p>
            <w:pPr>
              <w:pStyle w:val="Compact"/>
              <w:jc w:val="left"/>
            </w:pPr>
            <w:r>
              <w:t xml:space="preserve">Applicable Tax (Miami-Dade County, FL)</w:t>
            </w:r>
          </w:p>
        </w:tc>
        <w:tc>
          <w:tcPr/>
          <w:p>
            <w:pPr>
              <w:pStyle w:val="Compact"/>
              <w:jc w:val="right"/>
            </w:pPr>
            <w:r>
              <w:t xml:space="preserve">$0.00</w:t>
            </w:r>
          </w:p>
        </w:tc>
      </w:tr>
      <w:tr>
        <w:tc>
          <w:tcPr/>
          <w:p>
            <w:pPr>
              <w:pStyle w:val="Compact"/>
              <w:jc w:val="left"/>
            </w:pPr>
            <w:r>
              <w:t xml:space="preserve">(Professional consulting services are exempt from Florida sales tax under Fla. Stat. § 212.01)</w:t>
            </w:r>
          </w:p>
        </w:tc>
        <w:tc>
          <w:tcPr/>
          <w:p>
            <w:pPr>
              <w:pStyle w:val="Compact"/>
            </w:pPr>
          </w:p>
        </w:tc>
      </w:tr>
      <w:tr>
        <w:tc>
          <w:tcPr/>
          <w:p>
            <w:pPr>
              <w:pStyle w:val="Compact"/>
              <w:jc w:val="left"/>
            </w:pPr>
            <w:r>
              <w:t xml:space="preserve">Retainer Credit Applied</w:t>
            </w:r>
          </w:p>
        </w:tc>
        <w:tc>
          <w:tcPr/>
          <w:p>
            <w:pPr>
              <w:pStyle w:val="Compact"/>
              <w:jc w:val="right"/>
            </w:pPr>
            <w:r>
              <w:t xml:space="preserve">−$2,500.00</w:t>
            </w:r>
          </w:p>
        </w:tc>
      </w:tr>
      <w:tr>
        <w:tc>
          <w:tcPr/>
          <w:p>
            <w:pPr>
              <w:pStyle w:val="Compact"/>
              <w:jc w:val="left"/>
            </w:pPr>
            <w:r>
              <w:t xml:space="preserve">TOTAL AMOUNT DUE</w:t>
            </w:r>
          </w:p>
        </w:tc>
        <w:tc>
          <w:tcPr/>
          <w:p>
            <w:pPr>
              <w:pStyle w:val="Compact"/>
              <w:jc w:val="right"/>
            </w:pPr>
            <w:r>
              <w:t xml:space="preserve">$33,190.00</w:t>
            </w:r>
          </w:p>
        </w:tc>
      </w:tr>
    </w:tbl>
    <w:bookmarkEnd w:id="21"/>
    <w:bookmarkStart w:id="22" w:name="payment-instructions"/>
    <w:p>
      <w:pPr>
        <w:pStyle w:val="Heading2"/>
      </w:pPr>
      <w:r>
        <w:t xml:space="preserve">Payment Instructions</w:t>
      </w:r>
    </w:p>
    <w:p>
      <w:pPr>
        <w:pStyle w:val="FirstParagraph"/>
      </w:pPr>
      <w:r>
        <w:t xml:space="preserve">Please remit payment of</w:t>
      </w:r>
      <w:r>
        <w:t xml:space="preserve"> </w:t>
      </w:r>
      <w:r>
        <w:rPr>
          <w:bCs/>
          <w:b/>
        </w:rPr>
        <w:t xml:space="preserve">$33,190.00 USD</w:t>
      </w:r>
      <w:r>
        <w:t xml:space="preserve"> </w:t>
      </w:r>
      <w:r>
        <w:t xml:space="preserve">within thirty (30) calendar days of the Invoice date (due by</w:t>
      </w:r>
      <w:r>
        <w:t xml:space="preserve"> </w:t>
      </w:r>
      <w:r>
        <w:rPr>
          <w:bCs/>
          <w:b/>
        </w:rPr>
        <w:t xml:space="preserve">July 12, 2025</w:t>
      </w:r>
      <w:r>
        <w:t xml:space="preserve">). Payment may be made via wire transfer, ACH, or certified check. For wire transfer, please reference Invoice Number</w:t>
      </w:r>
      <w:r>
        <w:t xml:space="preserve"> </w:t>
      </w:r>
      <w:r>
        <w:rPr>
          <w:bCs/>
          <w:b/>
        </w:rPr>
        <w:t xml:space="preserve">MC-2025-0487</w:t>
      </w:r>
      <w:r>
        <w:t xml:space="preserve"> </w:t>
      </w:r>
      <w:r>
        <w:t xml:space="preserve">in the memo field.</w:t>
      </w:r>
    </w:p>
    <w:p>
      <w:pPr>
        <w:pStyle w:val="BodyText"/>
      </w:pPr>
      <w:r>
        <w:rPr>
          <w:bCs/>
          <w:b/>
        </w:rPr>
        <w:t xml:space="preserve">Bank:</w:t>
      </w:r>
      <w:r>
        <w:t xml:space="preserve"> </w:t>
      </w:r>
      <w:r>
        <w:t xml:space="preserve">Bank of America, N.A. — Miami Branch</w:t>
      </w:r>
      <w:r>
        <w:br/>
      </w:r>
      <w:r>
        <w:rPr>
          <w:bCs/>
          <w:b/>
        </w:rPr>
        <w:t xml:space="preserve">Account Name:</w:t>
      </w:r>
      <w:r>
        <w:t xml:space="preserve"> </w:t>
      </w:r>
      <w:r>
        <w:t xml:space="preserve">Meridian Consulting Group, LLC</w:t>
      </w:r>
      <w:r>
        <w:br/>
      </w:r>
      <w:r>
        <w:rPr>
          <w:bCs/>
          <w:b/>
        </w:rPr>
        <w:t xml:space="preserve">Routing Number:</w:t>
      </w:r>
      <w:r>
        <w:t xml:space="preserve"> </w:t>
      </w:r>
      <w:r>
        <w:t xml:space="preserve">021000021</w:t>
      </w:r>
      <w:r>
        <w:br/>
      </w:r>
      <w:r>
        <w:rPr>
          <w:bCs/>
          <w:b/>
        </w:rPr>
        <w:t xml:space="preserve">Account Number:</w:t>
      </w:r>
      <w:r>
        <w:t xml:space="preserve"> </w:t>
      </w:r>
      <w:r>
        <w:t xml:space="preserve">4482-7719-003</w:t>
      </w:r>
      <w:r>
        <w:br/>
      </w:r>
      <w:r>
        <w:rPr>
          <w:bCs/>
          <w:b/>
        </w:rPr>
        <w:t xml:space="preserve">SWIFT Code:</w:t>
      </w:r>
      <w:r>
        <w:t xml:space="preserve"> </w:t>
      </w:r>
      <w:r>
        <w:t xml:space="preserve">BOFAUS3N</w:t>
      </w:r>
    </w:p>
    <w:bookmarkEnd w:id="22"/>
    <w:bookmarkStart w:id="23" w:name="terms-and-conditions"/>
    <w:p>
      <w:pPr>
        <w:pStyle w:val="Heading2"/>
      </w:pPr>
      <w:r>
        <w:t xml:space="preserve">Terms and Conditions</w:t>
      </w:r>
    </w:p>
    <w:p>
      <w:pPr>
        <w:pStyle w:val="FirstParagraph"/>
      </w:pPr>
      <w:r>
        <w:rPr>
          <w:bCs/>
          <w:b/>
        </w:rPr>
        <w:t xml:space="preserve">1. Payment Terms:</w:t>
      </w:r>
      <w:r>
        <w:t xml:space="preserve"> </w:t>
      </w:r>
      <w:r>
        <w:t xml:space="preserve">This Invoice is payable in full within thirty (30) days of the issue date. Late payments shall accrue interest at a rate of 1.5% per month or the maximum rate permitted under Florida state law, whichever is less. The Business Consultant reserves the right to suspend ongoing services if payment is not received by the due date.</w:t>
      </w:r>
    </w:p>
    <w:p>
      <w:pPr>
        <w:pStyle w:val="BodyText"/>
      </w:pPr>
      <w:r>
        <w:rPr>
          <w:bCs/>
          <w:b/>
        </w:rPr>
        <w:t xml:space="preserve">2. Scope of Services:</w:t>
      </w:r>
      <w:r>
        <w:t xml:space="preserve"> </w:t>
      </w:r>
      <w:r>
        <w:t xml:space="preserve">All Business Consultant services described in this Invoice were performed in accordance with the Master Services Agreement dated March 15, 2025, between Meridian Consulting Group, LLC and Atlantic Horizon Holdings, Inc. Any services outside the agreed scope require prior written authorization.</w:t>
      </w:r>
    </w:p>
    <w:p>
      <w:pPr>
        <w:pStyle w:val="BodyText"/>
      </w:pPr>
      <w:r>
        <w:rPr>
          <w:bCs/>
          <w:b/>
        </w:rPr>
        <w:t xml:space="preserve">3. Confidentiality:</w:t>
      </w:r>
      <w:r>
        <w:t xml:space="preserve"> </w:t>
      </w:r>
      <w:r>
        <w:t xml:space="preserve">All data, financial models, strategic plans, and proprietary information exchanged during the consulting engagement remain the exclusive property of the client. The Business Consultant team is bound by the Non-Disclosure Agreement executed concurrently with the Master Services Agreement.</w:t>
      </w:r>
    </w:p>
    <w:p>
      <w:pPr>
        <w:pStyle w:val="BodyText"/>
      </w:pPr>
      <w:r>
        <w:rPr>
          <w:bCs/>
          <w:b/>
        </w:rPr>
        <w:t xml:space="preserve">4. Dispute Resolution:</w:t>
      </w:r>
      <w:r>
        <w:t xml:space="preserve"> </w:t>
      </w:r>
      <w:r>
        <w:t xml:space="preserve">Any disputes arising from this Invoice or the underlying consulting services shall be resolved through binding arbitration in Miami, Florida, in accordance with the rules of the American Arbitration Association. The governing law for this Invoice and all related agreements is the law of the State of Florida, United States.</w:t>
      </w:r>
    </w:p>
    <w:p>
      <w:pPr>
        <w:pStyle w:val="BodyText"/>
      </w:pPr>
      <w:r>
        <w:rPr>
          <w:bCs/>
          <w:b/>
        </w:rPr>
        <w:t xml:space="preserve">5. Cancellation &amp; Refunds:</w:t>
      </w:r>
      <w:r>
        <w:t xml:space="preserve"> </w:t>
      </w:r>
      <w:r>
        <w:t xml:space="preserve">Completed consulting deliverables are non-refundable. Partially completed engagements may be subject to a pro-rated refund at the sole discretion of the Business Consultant, provided written notice is given at least fourteen (14) days prior to the scheduled completion date.</w:t>
      </w:r>
    </w:p>
    <w:p>
      <w:pPr>
        <w:pStyle w:val="BodyText"/>
      </w:pPr>
      <w:r>
        <w:rPr>
          <w:bCs/>
          <w:b/>
        </w:rPr>
        <w:t xml:space="preserve">6. Tax Compliance:</w:t>
      </w:r>
      <w:r>
        <w:t xml:space="preserve"> </w:t>
      </w:r>
      <w:r>
        <w:t xml:space="preserve">This Invoice reflects that professional Business Consultant services rendered in Miami, Florida, are exempt from Florida state and local sales tax. The client is responsible for any applicable federal or state income tax obligations arising from these payments. Meridian Consulting Group, LLC is registered to conduct business in the State of Florida and the United States.</w:t>
      </w:r>
    </w:p>
    <w:p>
      <w:pPr>
        <w:pStyle w:val="BodyText"/>
      </w:pPr>
      <w:r>
        <w:rPr>
          <w:bCs/>
          <w:b/>
        </w:rPr>
        <w:t xml:space="preserve">7. Intellectual Property:</w:t>
      </w:r>
      <w:r>
        <w:t xml:space="preserve"> </w:t>
      </w:r>
      <w:r>
        <w:t xml:space="preserve">All frameworks, methodologies, templates, and proprietary tools developed by the Business Consultant during the engagement remain the intellectual property of Meridian Consulting Group, LLC. The client receives a perpetual, non-exclusive license to use the final deliverables for internal business purposes within the United States.</w:t>
      </w:r>
    </w:p>
    <w:bookmarkEnd w:id="23"/>
    <w:bookmarkStart w:id="24" w:name="notes"/>
    <w:p>
      <w:pPr>
        <w:pStyle w:val="Heading2"/>
      </w:pPr>
      <w:r>
        <w:t xml:space="preserve">Notes</w:t>
      </w:r>
    </w:p>
    <w:p>
      <w:pPr>
        <w:pStyle w:val="FirstParagraph"/>
      </w:pPr>
      <w:r>
        <w:t xml:space="preserve">Thank you for engaging Meridian Consulting Group, LLC as your Business Consultant partner. We are proud to have supported Atlantic Horizon Holdings, Inc. in achieving measurable strategic progress during this service period. Our team in Miami, United States, remains at your disposal for any questions regarding this Invoice or for scheduling the next phase of your consulting engagement. Please direct all billing inquiries to the contact information listed above.</w:t>
      </w:r>
    </w:p>
    <w:p>
      <w:pPr>
        <w:pStyle w:val="BodyText"/>
      </w:pPr>
      <w:r>
        <w:rPr>
          <w:bCs/>
          <w:b/>
        </w:rPr>
        <w:t xml:space="preserve">Meridian Consulting Group, LLC</w:t>
      </w:r>
      <w:r>
        <w:t xml:space="preserve"> </w:t>
      </w:r>
      <w:r>
        <w:t xml:space="preserve">— Professional Business Consultant Services</w:t>
      </w:r>
    </w:p>
    <w:p>
      <w:pPr>
        <w:pStyle w:val="BodyText"/>
      </w:pPr>
      <w:r>
        <w:t xml:space="preserve">3300 Brickell Avenue, Suite 2100, Miami, FL 33131, United States</w:t>
      </w:r>
    </w:p>
    <w:p>
      <w:pPr>
        <w:pStyle w:val="BodyText"/>
      </w:pPr>
      <w:r>
        <w:t xml:space="preserve">Phone: (305) 555-0142  |  Email: billing@meridianconsulting.com  |  EIN: 82-4471903</w:t>
      </w:r>
    </w:p>
    <w:p>
      <w:pPr>
        <w:pStyle w:val="BodyText"/>
      </w:pPr>
      <w:r>
        <w:t xml:space="preserve">This Invoice was generated electronically and is valid without a physical signature. © 2025 Meridian Consulting Group,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Miami, United States</dc:title>
  <dc:creator/>
  <dc:language>en</dc:language>
  <cp:keywords/>
  <dcterms:created xsi:type="dcterms:W3CDTF">2026-10-10T03:54:51Z</dcterms:created>
  <dcterms:modified xsi:type="dcterms:W3CDTF">2026-10-10T03:54:51Z</dcterms:modified>
</cp:coreProperties>
</file>

<file path=docProps/custom.xml><?xml version="1.0" encoding="utf-8"?>
<Properties xmlns="http://schemas.openxmlformats.org/officeDocument/2006/custom-properties" xmlns:vt="http://schemas.openxmlformats.org/officeDocument/2006/docPropsVTypes"/>
</file>