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Professional Business Consultant Services</w:t>
      </w:r>
    </w:p>
    <w:p>
      <w:pPr>
        <w:pStyle w:val="BodyText"/>
      </w:pPr>
      <w:r>
        <w:t xml:space="preserve">United States New York City</w:t>
      </w:r>
    </w:p>
    <w:p>
      <w:pPr>
        <w:pStyle w:val="BodyText"/>
      </w:pPr>
      <w:r>
        <w:rPr>
          <w:bCs/>
          <w:b/>
        </w:rPr>
        <w:t xml:space="preserve">Invoice Number:</w:t>
      </w:r>
      <w:r>
        <w:t xml:space="preserve"> </w:t>
      </w:r>
      <w:r>
        <w:t xml:space="preserve">INV-2025-04782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United States New York City</w:t>
      </w:r>
    </w:p>
    <w:bookmarkStart w:id="20" w:name="business-consultant-service-provider"/>
    <w:p>
      <w:pPr>
        <w:pStyle w:val="Heading3"/>
      </w:pPr>
      <w:r>
        <w:t xml:space="preserve">Business Consultant (Service Provider)</w:t>
      </w:r>
    </w:p>
    <w:p>
      <w:pPr>
        <w:pStyle w:val="FirstParagraph"/>
      </w:pPr>
      <w:r>
        <w:rPr>
          <w:bCs/>
          <w:b/>
        </w:rPr>
        <w:t xml:space="preserve">Meridian Strategic Advisory Group LLC</w:t>
      </w:r>
    </w:p>
    <w:p>
      <w:pPr>
        <w:pStyle w:val="BodyText"/>
      </w:pPr>
      <w:r>
        <w:t xml:space="preserve">1285 Avenue of the Americas, Suite 4200</w:t>
      </w:r>
    </w:p>
    <w:p>
      <w:pPr>
        <w:pStyle w:val="BodyText"/>
      </w:pPr>
      <w:r>
        <w:t xml:space="preserve">New York, NY 10020</w:t>
      </w:r>
    </w:p>
    <w:p>
      <w:pPr>
        <w:pStyle w:val="BodyText"/>
      </w:pPr>
      <w:r>
        <w:t xml:space="preserve">United States New York City</w:t>
      </w:r>
    </w:p>
    <w:p>
      <w:pPr>
        <w:pStyle w:val="BodyText"/>
      </w:pPr>
      <w:r>
        <w:t xml:space="preserve">Tel: (212) 555-0147</w:t>
      </w:r>
    </w:p>
    <w:p>
      <w:pPr>
        <w:pStyle w:val="BodyText"/>
      </w:pPr>
      <w:r>
        <w:t xml:space="preserve">Email: billing@meridianstrategic.com</w:t>
      </w:r>
    </w:p>
    <w:p>
      <w:pPr>
        <w:pStyle w:val="BodyText"/>
      </w:pPr>
      <w:r>
        <w:t xml:space="preserve">NYC Business License: #NYC-2019-88432</w:t>
      </w:r>
    </w:p>
    <w:p>
      <w:pPr>
        <w:pStyle w:val="BodyText"/>
      </w:pPr>
      <w:r>
        <w:t xml:space="preserve">Federal EIN: 84-2917365</w:t>
      </w:r>
    </w:p>
    <w:bookmarkEnd w:id="20"/>
    <w:bookmarkStart w:id="21" w:name="client-bill-to"/>
    <w:p>
      <w:pPr>
        <w:pStyle w:val="Heading3"/>
      </w:pPr>
      <w:r>
        <w:t xml:space="preserve">Client (Bill To)</w:t>
      </w:r>
    </w:p>
    <w:p>
      <w:pPr>
        <w:pStyle w:val="FirstParagraph"/>
      </w:pPr>
      <w:r>
        <w:rPr>
          <w:bCs/>
          <w:b/>
        </w:rPr>
        <w:t xml:space="preserve">Harborview Logistics Corporation</w:t>
      </w:r>
    </w:p>
    <w:p>
      <w:pPr>
        <w:pStyle w:val="BodyText"/>
      </w:pPr>
      <w:r>
        <w:t xml:space="preserve">450 West 33rd Street, Floor 18</w:t>
      </w:r>
    </w:p>
    <w:p>
      <w:pPr>
        <w:pStyle w:val="BodyText"/>
      </w:pPr>
      <w:r>
        <w:t xml:space="preserve">New York, NY 10001</w:t>
      </w:r>
    </w:p>
    <w:p>
      <w:pPr>
        <w:pStyle w:val="BodyText"/>
      </w:pPr>
      <w:r>
        <w:t xml:space="preserve">United States New York City</w:t>
      </w:r>
    </w:p>
    <w:p>
      <w:pPr>
        <w:pStyle w:val="BodyText"/>
      </w:pPr>
      <w:r>
        <w:t xml:space="preserve">Attn: Mr. David Chen, Chief Operating Officer</w:t>
      </w:r>
    </w:p>
    <w:p>
      <w:pPr>
        <w:pStyle w:val="BodyText"/>
      </w:pPr>
      <w:r>
        <w:t xml:space="preserve">Tel: (212) 555-0892</w:t>
      </w:r>
    </w:p>
    <w:p>
      <w:pPr>
        <w:pStyle w:val="BodyText"/>
      </w:pPr>
      <w:r>
        <w:t xml:space="preserve">Email: d.chen@harborviewlogistics.com</w:t>
      </w:r>
    </w:p>
    <w:bookmarkEnd w:id="21"/>
    <w:bookmarkStart w:id="23" w:name="Xf1e33f9a812224368dadb69ce1d637e9cd53fd2"/>
    <w:p>
      <w:pPr>
        <w:pStyle w:val="Heading2"/>
      </w:pPr>
      <w:r>
        <w:t xml:space="preserve">Invoice Line Items – Business Consultant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Business Planning &amp; Market Analysis – Comprehensive operational audit of Harborview Logistics' supply chain infrastructure across the United States New York City metropolitan area, including competitor benchmarking and SWOT analysis.</w:t>
            </w:r>
          </w:p>
        </w:tc>
        <w:tc>
          <w:tcPr/>
          <w:p>
            <w:pPr>
              <w:pStyle w:val="Compact"/>
              <w:jc w:val="left"/>
            </w:pPr>
            <w:r>
              <w:t xml:space="preserve">May 5 – May 16, 2025</w:t>
            </w:r>
          </w:p>
        </w:tc>
        <w:tc>
          <w:tcPr/>
          <w:p>
            <w:pPr>
              <w:pStyle w:val="Compact"/>
              <w:jc w:val="left"/>
            </w:pPr>
            <w:r>
              <w:t xml:space="preserve">48.0</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Organizational Restructuring Consultation – On-site advisory sessions with executive leadership to redesign departmental hierarchies, optimize reporting structures, and implement performance KPIs aligned with fiscal year 2026 objectives.</w:t>
            </w:r>
          </w:p>
        </w:tc>
        <w:tc>
          <w:tcPr/>
          <w:p>
            <w:pPr>
              <w:pStyle w:val="Compact"/>
              <w:jc w:val="left"/>
            </w:pPr>
            <w:r>
              <w:t xml:space="preserve">May 19 – May 30, 2025</w:t>
            </w:r>
          </w:p>
        </w:tc>
        <w:tc>
          <w:tcPr/>
          <w:p>
            <w:pPr>
              <w:pStyle w:val="Compact"/>
              <w:jc w:val="left"/>
            </w:pPr>
            <w:r>
              <w:t xml:space="preserve">36.0</w:t>
            </w:r>
          </w:p>
        </w:tc>
        <w:tc>
          <w:tcPr/>
          <w:p>
            <w:pPr>
              <w:pStyle w:val="Compact"/>
              <w:jc w:val="left"/>
            </w:pPr>
            <w:r>
              <w:t xml:space="preserve">$275.00</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Revenue Growth Strategy Development – Formulation of a twelve-month revenue expansion roadmap incorporating digital transformation initiatives, new market entry strategies for the tri-state region, and pricing model optimization.</w:t>
            </w:r>
          </w:p>
        </w:tc>
        <w:tc>
          <w:tcPr/>
          <w:p>
            <w:pPr>
              <w:pStyle w:val="Compact"/>
              <w:jc w:val="left"/>
            </w:pPr>
            <w:r>
              <w:t xml:space="preserve">June 2 – June 9, 2025</w:t>
            </w:r>
          </w:p>
        </w:tc>
        <w:tc>
          <w:tcPr/>
          <w:p>
            <w:pPr>
              <w:pStyle w:val="Compact"/>
              <w:jc w:val="left"/>
            </w:pPr>
            <w:r>
              <w:t xml:space="preserve">32.0</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Regulatory Compliance Review – Assessment of business operations against New York State and United States New York City municipal regulations, including Department of Consumer and Worker Protection guidelines and local tax obligations.</w:t>
            </w:r>
          </w:p>
        </w:tc>
        <w:tc>
          <w:tcPr/>
          <w:p>
            <w:pPr>
              <w:pStyle w:val="Compact"/>
              <w:jc w:val="left"/>
            </w:pPr>
            <w:r>
              <w:t xml:space="preserve">June 10 – June 13, 2025</w:t>
            </w:r>
          </w:p>
        </w:tc>
        <w:tc>
          <w:tcPr/>
          <w:p>
            <w:pPr>
              <w:pStyle w:val="Compact"/>
              <w:jc w:val="left"/>
            </w:pPr>
            <w:r>
              <w:t xml:space="preserve">16.0</w:t>
            </w:r>
          </w:p>
        </w:tc>
        <w:tc>
          <w:tcPr/>
          <w:p>
            <w:pPr>
              <w:pStyle w:val="Compact"/>
              <w:jc w:val="left"/>
            </w:pPr>
            <w:r>
              <w:t xml:space="preserve">$275.00</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Executive Presentation &amp; Final Deliverables – Preparation and delivery of a comprehensive 120-page strategic advisory report, board-level presentation deck, and implementation timeline to the Harborview Logistics board of directors.</w:t>
            </w:r>
          </w:p>
        </w:tc>
        <w:tc>
          <w:tcPr/>
          <w:p>
            <w:pPr>
              <w:pStyle w:val="Compact"/>
              <w:jc w:val="left"/>
            </w:pPr>
            <w:r>
              <w:t xml:space="preserve">June 14 – June 15, 2025</w:t>
            </w:r>
          </w:p>
        </w:tc>
        <w:tc>
          <w:tcPr/>
          <w:p>
            <w:pPr>
              <w:pStyle w:val="Compact"/>
              <w:jc w:val="left"/>
            </w:pPr>
            <w:r>
              <w:t xml:space="preserve">12.0</w:t>
            </w:r>
          </w:p>
        </w:tc>
        <w:tc>
          <w:tcPr/>
          <w:p>
            <w:pPr>
              <w:pStyle w:val="Compact"/>
              <w:jc w:val="left"/>
            </w:pPr>
            <w:r>
              <w:t xml:space="preserve">$275.00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$39,600.00</w:t>
            </w:r>
          </w:p>
        </w:tc>
      </w:tr>
      <w:tr>
        <w:tc>
          <w:tcPr/>
          <w:p>
            <w:pPr>
              <w:pStyle w:val="Compact"/>
              <w:jc w:val="left"/>
            </w:pPr>
            <w:r>
              <w:t xml:space="preserve">Applicable Discount (Early Engagement)</w:t>
            </w:r>
          </w:p>
        </w:tc>
        <w:tc>
          <w:tcPr/>
          <w:p>
            <w:pPr>
              <w:pStyle w:val="Compact"/>
              <w:jc w:val="right"/>
            </w:pPr>
            <w:r>
              <w:t xml:space="preserve">-$1,980.00</w:t>
            </w:r>
          </w:p>
        </w:tc>
      </w:tr>
      <w:tr>
        <w:tc>
          <w:tcPr/>
          <w:p>
            <w:pPr>
              <w:pStyle w:val="Compact"/>
              <w:jc w:val="left"/>
            </w:pPr>
            <w:r>
              <w:t xml:space="preserve">NYC Sales &amp; Services Tax (8.875%)</w:t>
            </w:r>
          </w:p>
        </w:tc>
        <w:tc>
          <w:tcPr/>
          <w:p>
            <w:pPr>
              <w:pStyle w:val="Compact"/>
              <w:jc w:val="right"/>
            </w:pPr>
            <w:r>
              <w:t xml:space="preserve">$3,338.63</w:t>
            </w:r>
          </w:p>
        </w:tc>
      </w:tr>
      <w:tr>
        <w:tc>
          <w:tcPr/>
          <w:p>
            <w:pPr>
              <w:pStyle w:val="Compact"/>
              <w:jc w:val="left"/>
            </w:pPr>
            <w:r>
              <w:t xml:space="preserve">NY State Tax (4.0%)</w:t>
            </w:r>
          </w:p>
        </w:tc>
        <w:tc>
          <w:tcPr/>
          <w:p>
            <w:pPr>
              <w:pStyle w:val="Compact"/>
              <w:jc w:val="right"/>
            </w:pPr>
            <w:r>
              <w:t xml:space="preserve">$1,512.00</w:t>
            </w:r>
          </w:p>
        </w:tc>
      </w:tr>
      <w:tr>
        <w:tc>
          <w:tcPr/>
          <w:p>
            <w:pPr>
              <w:pStyle w:val="Compact"/>
              <w:jc w:val="left"/>
            </w:pPr>
            <w:r>
              <w:t xml:space="preserve">Federal Tax (0.0% – Exempt Professional Services)</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$42,470.63</w:t>
            </w:r>
          </w:p>
        </w:tc>
      </w:tr>
    </w:tbl>
    <w:bookmarkStart w:id="22" w:name="invoice-payment-terms-conditions"/>
    <w:p>
      <w:pPr>
        <w:pStyle w:val="Heading3"/>
      </w:pPr>
      <w:r>
        <w:t xml:space="preserve">Invoice Payment Terms &amp; Conditions</w:t>
      </w:r>
    </w:p>
    <w:p>
      <w:pPr>
        <w:pStyle w:val="FirstParagraph"/>
      </w:pPr>
      <w:r>
        <w:t xml:space="preserve">This Invoice is issued by Meridian Strategic Advisory Group LLC, a licensed Business Consultant firm operating in United States New York City, in accordance with the Master Services Agreement dated March 1, 2025, between the parties referenced above.</w:t>
      </w:r>
    </w:p>
    <w:p>
      <w:pPr>
        <w:numPr>
          <w:ilvl w:val="0"/>
          <w:numId w:val="1001"/>
        </w:numPr>
        <w:pStyle w:val="Compact"/>
      </w:pPr>
      <w:r>
        <w:rPr>
          <w:bCs/>
          <w:b/>
        </w:rPr>
        <w:t xml:space="preserve">Payment Due:</w:t>
      </w:r>
      <w:r>
        <w:t xml:space="preserve"> </w:t>
      </w:r>
      <w:r>
        <w:t xml:space="preserve">The full amount of $42,470.63 is due within thirty (30) calendar days from the Invoice date of June 15, 2025. Payment is expected no later than July 15, 2025.</w:t>
      </w:r>
    </w:p>
    <w:p>
      <w:pPr>
        <w:numPr>
          <w:ilvl w:val="0"/>
          <w:numId w:val="1001"/>
        </w:numPr>
        <w:pStyle w:val="Compact"/>
      </w:pPr>
      <w:r>
        <w:rPr>
          <w:bCs/>
          <w:b/>
        </w:rPr>
        <w:t xml:space="preserve">Payment Method:</w:t>
      </w:r>
      <w:r>
        <w:t xml:space="preserve"> </w:t>
      </w:r>
      <w:r>
        <w:t xml:space="preserve">Payment may be remitted via wire transfer to Meridian Strategic Advisory Group LLC, Chase Bank, Account ending in 7741, Routing Number 021000021, or by certified check payable to "Meridian Strategic Advisory Group LLC" mailed to the United States New York City address listed above.</w:t>
      </w:r>
    </w:p>
    <w:p>
      <w:pPr>
        <w:numPr>
          <w:ilvl w:val="0"/>
          <w:numId w:val="1001"/>
        </w:numPr>
        <w:pStyle w:val="Compact"/>
      </w:pPr>
      <w:r>
        <w:rPr>
          <w:bCs/>
          <w:b/>
        </w:rPr>
        <w:t xml:space="preserve">Late Payment:</w:t>
      </w:r>
      <w:r>
        <w:t xml:space="preserve"> </w:t>
      </w:r>
      <w:r>
        <w:t xml:space="preserve">A late fee of 1.5% per month (18% annualized) shall be applied to any outstanding balance past the due date, in compliance with New York State General Obligations Law § 5-501.</w:t>
      </w:r>
    </w:p>
    <w:p>
      <w:pPr>
        <w:numPr>
          <w:ilvl w:val="0"/>
          <w:numId w:val="1001"/>
        </w:numPr>
        <w:pStyle w:val="Compact"/>
      </w:pPr>
      <w:r>
        <w:rPr>
          <w:bCs/>
          <w:b/>
        </w:rPr>
        <w:t xml:space="preserve">Disputes:</w:t>
      </w:r>
      <w:r>
        <w:t xml:space="preserve"> </w:t>
      </w:r>
      <w:r>
        <w:t xml:space="preserve">Any disputes regarding this Invoice must be submitted in writing within fifteen (15) business days of receipt. Undisputed portions remain payable on the original due date.</w:t>
      </w:r>
    </w:p>
    <w:p>
      <w:pPr>
        <w:numPr>
          <w:ilvl w:val="0"/>
          <w:numId w:val="1001"/>
        </w:numPr>
        <w:pStyle w:val="Compact"/>
      </w:pPr>
      <w:r>
        <w:rPr>
          <w:bCs/>
          <w:b/>
        </w:rPr>
        <w:t xml:space="preserve">Tax Compliance:</w:t>
      </w:r>
      <w:r>
        <w:t xml:space="preserve"> </w:t>
      </w:r>
      <w:r>
        <w:t xml:space="preserve">All applicable United States New York City municipal taxes, New York State taxes, and federal tax obligations have been calculated and included. The Business Consultant firm is registered with the New York City Department of Finance under Taxpayer ID #NYC-DF-2024-11982.</w:t>
      </w:r>
    </w:p>
    <w:p>
      <w:pPr>
        <w:numPr>
          <w:ilvl w:val="0"/>
          <w:numId w:val="1001"/>
        </w:numPr>
        <w:pStyle w:val="Compact"/>
      </w:pPr>
      <w:r>
        <w:rPr>
          <w:bCs/>
          <w:b/>
        </w:rPr>
        <w:t xml:space="preserve">Confidentiality:</w:t>
      </w:r>
      <w:r>
        <w:t xml:space="preserve"> </w:t>
      </w:r>
      <w:r>
        <w:t xml:space="preserve">All information contained within this Invoice and the associated engagement remains subject to the Non-Disclosure Agreement executed on March 1, 2025.</w:t>
      </w:r>
    </w:p>
    <w:p>
      <w:pPr>
        <w:numPr>
          <w:ilvl w:val="0"/>
          <w:numId w:val="1001"/>
        </w:numPr>
        <w:pStyle w:val="Compact"/>
      </w:pPr>
      <w:r>
        <w:rPr>
          <w:bCs/>
          <w:b/>
        </w:rPr>
        <w:t xml:space="preserve">Governing Law:</w:t>
      </w:r>
      <w:r>
        <w:t xml:space="preserve"> </w:t>
      </w:r>
      <w:r>
        <w:t xml:space="preserve">This Invoice and all related services shall be governed by and construed in accordance with the laws of the State of New York and the municipal codes of United States New York City.</w:t>
      </w:r>
    </w:p>
    <w:p>
      <w:pPr>
        <w:pStyle w:val="FirstParagraph"/>
      </w:pPr>
      <w:r>
        <w:rPr>
          <w:bCs/>
          <w:b/>
        </w:rPr>
        <w:t xml:space="preserve">Authorized Signature:</w:t>
      </w:r>
    </w:p>
    <w:p>
      <w:pPr>
        <w:pStyle w:val="BodyText"/>
      </w:pPr>
      <w:r>
        <w:t xml:space="preserve">______________________________</w:t>
      </w:r>
      <w:r>
        <w:br/>
      </w:r>
      <w:r>
        <w:rPr>
          <w:bCs/>
          <w:b/>
        </w:rPr>
        <w:t xml:space="preserve">Jonathan R. Whitfield, CPA, CMC</w:t>
      </w:r>
      <w:r>
        <w:br/>
      </w:r>
      <w:r>
        <w:t xml:space="preserve">Principal Business Consultant &amp; Managing Director</w:t>
      </w:r>
      <w:r>
        <w:br/>
      </w:r>
      <w:r>
        <w:t xml:space="preserve">Meridian Strategic Advisory Group LLC</w:t>
      </w:r>
      <w:r>
        <w:br/>
      </w:r>
      <w:r>
        <w:t xml:space="preserve">United States New York City</w:t>
      </w:r>
    </w:p>
    <w:bookmarkEnd w:id="22"/>
    <w:p>
      <w:pPr>
        <w:pStyle w:val="BodyText"/>
      </w:pPr>
      <w:r>
        <w:t xml:space="preserve">This Invoice was generated electronically and is valid without a physical signature. Meridian Strategic Advisory Group LLC is a registered Business Consultant entity in the State of New York, United States New York City. For questions regarding this Invoice, please contact our billing department at (212) 555-0147 or billing@meridianstrategic.com. Thank you for your business.</w:t>
      </w:r>
    </w:p>
    <w:p>
      <w:pPr>
        <w:pStyle w:val="BodyText"/>
      </w:pPr>
      <w:r>
        <w:t xml:space="preserve">© 2025 Meridian Strategic Advisory Group LLC | United States New York City |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United States New York City</dc:title>
  <dc:creator/>
  <dc:language>en</dc:language>
  <cp:keywords/>
  <dcterms:created xsi:type="dcterms:W3CDTF">2026-10-10T05:52:57Z</dcterms:created>
  <dcterms:modified xsi:type="dcterms:W3CDTF">2026-10-10T05:52:57Z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