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strategic-advisory-group-c.a."/>
    <w:p>
      <w:pPr>
        <w:pStyle w:val="Heading1"/>
      </w:pPr>
      <w:r>
        <w:t xml:space="preserve">Caracas Strategic Advisory Group, C.A.</w:t>
      </w:r>
    </w:p>
    <w:p>
      <w:pPr>
        <w:pStyle w:val="FirstParagraph"/>
      </w:pPr>
      <w:r>
        <w:t xml:space="preserve">Professional Business Consultant Services</w:t>
      </w:r>
    </w:p>
    <w:p>
      <w:pPr>
        <w:pStyle w:val="BodyText"/>
      </w:pPr>
      <w:r>
        <w:t xml:space="preserve">Av. Francisco de Miranda, Torre Empresarial, Piso 14, Ofic. 1402</w:t>
      </w:r>
    </w:p>
    <w:p>
      <w:pPr>
        <w:pStyle w:val="BodyText"/>
      </w:pPr>
      <w:r>
        <w:t xml:space="preserve">Chacao, Venezuela Caracas, 1060</w:t>
      </w:r>
    </w:p>
    <w:p>
      <w:pPr>
        <w:pStyle w:val="BodyText"/>
      </w:pPr>
      <w:r>
        <w:t xml:space="preserve">RIF: J-40125876-3</w:t>
      </w:r>
    </w:p>
    <w:p>
      <w:pPr>
        <w:pStyle w:val="BodyText"/>
      </w:pPr>
      <w:r>
        <w:t xml:space="preserve">Tel: +58 (212) 555-7842 | Email: billing@caracasstrategic.com.ve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CSA-2025-0487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Empresa Industrial del Este, C.A.</w:t>
      </w:r>
    </w:p>
    <w:p>
      <w:pPr>
        <w:pStyle w:val="BodyText"/>
      </w:pPr>
      <w:r>
        <w:t xml:space="preserve">Attn: Ing. María Fernanda Rodríguez</w:t>
      </w:r>
    </w:p>
    <w:p>
      <w:pPr>
        <w:pStyle w:val="BodyText"/>
      </w:pPr>
      <w:r>
        <w:t xml:space="preserve">Av. Panteón, Edif. Corporativo, Piso 8</w:t>
      </w:r>
    </w:p>
    <w:p>
      <w:pPr>
        <w:pStyle w:val="BodyText"/>
      </w:pPr>
      <w:r>
        <w:t xml:space="preserve">Los Palos Grandes, Venezuela Caracas, 1080</w:t>
      </w:r>
    </w:p>
    <w:p>
      <w:pPr>
        <w:pStyle w:val="BodyText"/>
      </w:pPr>
      <w:r>
        <w:t xml:space="preserve">RIF: J-29874561-9</w:t>
      </w:r>
    </w:p>
    <w:p>
      <w:pPr>
        <w:pStyle w:val="BodyText"/>
      </w:pPr>
      <w:r>
        <w:t xml:space="preserve">Email: m.rodriguez@industrial-este.com.ve</w:t>
      </w:r>
    </w:p>
    <w:bookmarkEnd w:id="22"/>
    <w:bookmarkStart w:id="23" w:name="service-provider"/>
    <w:p>
      <w:pPr>
        <w:pStyle w:val="Heading3"/>
      </w:pPr>
      <w:r>
        <w:t xml:space="preserve">Service Provider</w:t>
      </w:r>
    </w:p>
    <w:p>
      <w:pPr>
        <w:pStyle w:val="FirstParagraph"/>
      </w:pPr>
      <w:r>
        <w:rPr>
          <w:bCs/>
          <w:b/>
        </w:rPr>
        <w:t xml:space="preserve">Caracas Strategic Advisory Group, C.A.</w:t>
      </w:r>
    </w:p>
    <w:p>
      <w:pPr>
        <w:pStyle w:val="BodyText"/>
      </w:pPr>
      <w:r>
        <w:t xml:space="preserve">Lead Business Consultant: Dr. Alejandro Paredes</w:t>
      </w:r>
    </w:p>
    <w:p>
      <w:pPr>
        <w:pStyle w:val="BodyText"/>
      </w:pPr>
      <w:r>
        <w:t xml:space="preserve">Professional License: C-2019-004521</w:t>
      </w:r>
    </w:p>
    <w:p>
      <w:pPr>
        <w:pStyle w:val="BodyText"/>
      </w:pPr>
      <w:r>
        <w:t xml:space="preserve">Av. Francisco de Miranda, Torre Empresarial</w:t>
      </w:r>
    </w:p>
    <w:p>
      <w:pPr>
        <w:pStyle w:val="BodyText"/>
      </w:pPr>
      <w:r>
        <w:t xml:space="preserve">Chacao, Venezuela Caracas, 1060</w:t>
      </w:r>
    </w:p>
    <w:p>
      <w:pPr>
        <w:pStyle w:val="BodyText"/>
      </w:pPr>
      <w:r>
        <w:t xml:space="preserve">Email: a.paredes@caracasstrategic.com.ve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Strategic Business Planning &amp; Organizational Restructuring</w:t>
            </w:r>
            <w:r>
              <w:br/>
            </w:r>
            <w:r>
              <w:t xml:space="preserve">Comprehensive analysis of the client's operational structure in Venezuela Caracas, including departmental workflow optimization, leadership assessment, and a 24-month strategic roadmap tailored to the local market conditions.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rPr>
                <w:bCs/>
                <w:b/>
              </w:rPr>
              <w:t xml:space="preserve">Financial Advisory &amp; Cost Optimization Consulting</w:t>
            </w:r>
            <w:r>
              <w:br/>
            </w:r>
            <w:r>
              <w:t xml:space="preserve">Detailed review of financial statements, cash flow management strategies, and cost-reduction initiatives. The Business Consultant conducted a full audit of vendor contracts and procurement processes to identify savings opportunities within the Venezuela Caracas market.</w:t>
            </w:r>
          </w:p>
        </w:tc>
        <w:tc>
          <w:tcPr/>
          <w:p>
            <w:pPr>
              <w:pStyle w:val="Compact"/>
              <w:jc w:val="left"/>
            </w:pPr>
            <w:r>
              <w:t xml:space="preserve">Feb – Apr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3</w:t>
            </w:r>
          </w:p>
        </w:tc>
        <w:tc>
          <w:tcPr/>
          <w:p>
            <w:pPr>
              <w:pStyle w:val="Compact"/>
              <w:jc w:val="left"/>
            </w:pPr>
            <w:r>
              <w:rPr>
                <w:bCs/>
                <w:b/>
              </w:rPr>
              <w:t xml:space="preserve">Market Entry &amp; Competitive Intelligence Analysis</w:t>
            </w:r>
            <w:r>
              <w:br/>
            </w:r>
            <w:r>
              <w:t xml:space="preserve">Preparation of a detailed market entry report for the client's expansion into new sectors within Venezuela Caracas. Includes competitor benchmarking, consumer behavior analysis, regulatory compliance review, and SWOT assessment conducted by the senior Business Consultant team.</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4</w:t>
            </w:r>
          </w:p>
        </w:tc>
        <w:tc>
          <w:tcPr/>
          <w:p>
            <w:pPr>
              <w:pStyle w:val="Compact"/>
              <w:jc w:val="left"/>
            </w:pPr>
            <w:r>
              <w:rPr>
                <w:bCs/>
                <w:b/>
              </w:rPr>
              <w:t xml:space="preserve">Change Management &amp; Staff Training Program</w:t>
            </w:r>
            <w:r>
              <w:br/>
            </w:r>
            <w:r>
              <w:t xml:space="preserve">Design and delivery of a 6-week change management workshop series for 45 employees. The Business Consultant facilitated leadership development sessions, conflict resolution training, and performance management system implementation across all offices in Venezuela Caracas.</w:t>
            </w:r>
          </w:p>
        </w:tc>
        <w:tc>
          <w:tcPr/>
          <w:p>
            <w:pPr>
              <w:pStyle w:val="Compact"/>
              <w:jc w:val="left"/>
            </w:pPr>
            <w:r>
              <w:t xml:space="preserve">Apr – Jun 2025</w:t>
            </w:r>
          </w:p>
        </w:tc>
        <w:tc>
          <w:tcPr/>
          <w:p>
            <w:pPr>
              <w:pStyle w:val="Compact"/>
              <w:jc w:val="left"/>
            </w:pPr>
            <w:r>
              <w:t xml:space="preserve">48</w:t>
            </w:r>
          </w:p>
        </w:tc>
        <w:tc>
          <w:tcPr/>
          <w:p>
            <w:pPr>
              <w:pStyle w:val="Compact"/>
              <w:jc w:val="left"/>
            </w:pPr>
            <w:r>
              <w:t xml:space="preserve">$100.00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Regulatory Compliance &amp; Legal Advisory</w:t>
            </w:r>
            <w:r>
              <w:br/>
            </w:r>
            <w:r>
              <w:t xml:space="preserve">Review and update of all corporate governance documents, labor law compliance (Ley Orgánica del Trabajo), tax obligations (SENIAT), and anti-corruption policies. The Business Consultant ensured full alignment with current Venezuelan commercial regulations applicable in Venezuela Caracas.</w:t>
            </w:r>
          </w:p>
        </w:tc>
        <w:tc>
          <w:tcPr/>
          <w:p>
            <w:pPr>
              <w:pStyle w:val="Compact"/>
              <w:jc w:val="left"/>
            </w:pPr>
            <w:r>
              <w:t xml:space="preserve">May – Jun 2025</w:t>
            </w:r>
          </w:p>
        </w:tc>
        <w:tc>
          <w:tcPr/>
          <w:p>
            <w:pPr>
              <w:pStyle w:val="Compact"/>
              <w:jc w:val="left"/>
            </w:pPr>
            <w:r>
              <w:t xml:space="preserve">36</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6</w:t>
            </w:r>
          </w:p>
        </w:tc>
        <w:tc>
          <w:tcPr/>
          <w:p>
            <w:pPr>
              <w:pStyle w:val="Compact"/>
              <w:jc w:val="left"/>
            </w:pPr>
            <w:r>
              <w:rPr>
                <w:bCs/>
                <w:b/>
              </w:rPr>
              <w:t xml:space="preserve">Technology Integration &amp; Digital Transformation Roadmap</w:t>
            </w:r>
            <w:r>
              <w:br/>
            </w:r>
            <w:r>
              <w:t xml:space="preserve">Assessment of current IT infrastructure and development of a phased digital transformation plan. The Business Consultant recommended ERP system migration, cybersecurity protocols, and automation strategies to improve operational efficiency in the Venezuela Caracas headquarters.</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$105.00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(USD)</w:t>
            </w:r>
          </w:p>
        </w:tc>
        <w:tc>
          <w:tcPr/>
          <w:p>
            <w:pPr>
              <w:pStyle w:val="Compact"/>
              <w:jc w:val="right"/>
            </w:pPr>
            <w:r>
              <w:rPr>
                <w:bCs/>
                <w:b/>
              </w:rPr>
              <w:t xml:space="preserve">$37,720.00</w:t>
            </w:r>
          </w:p>
        </w:tc>
      </w:tr>
      <w:tr>
        <w:tc>
          <w:tcPr/>
          <w:p>
            <w:pPr>
              <w:pStyle w:val="Compact"/>
              <w:jc w:val="left"/>
            </w:pPr>
            <w:r>
              <w:t xml:space="preserve">IVA (16% - Venezuelan Value Added Tax)</w:t>
            </w:r>
          </w:p>
        </w:tc>
        <w:tc>
          <w:tcPr/>
          <w:p>
            <w:pPr>
              <w:pStyle w:val="Compact"/>
              <w:jc w:val="right"/>
            </w:pPr>
            <w:r>
              <w:t xml:space="preserve">$6,035.20</w:t>
            </w:r>
          </w:p>
        </w:tc>
      </w:tr>
      <w:tr>
        <w:tc>
          <w:tcPr/>
          <w:p>
            <w:pPr>
              <w:pStyle w:val="Compact"/>
              <w:jc w:val="left"/>
            </w:pPr>
            <w:r>
              <w:t xml:space="preserve">Applicable Withholding Tax (3%)</w:t>
            </w:r>
          </w:p>
        </w:tc>
        <w:tc>
          <w:tcPr/>
          <w:p>
            <w:pPr>
              <w:pStyle w:val="Compact"/>
              <w:jc w:val="right"/>
            </w:pPr>
            <w:r>
              <w:t xml:space="preserve">($1,131.60)</w:t>
            </w:r>
          </w:p>
        </w:tc>
      </w:tr>
      <w:tr>
        <w:tc>
          <w:tcPr/>
          <w:p>
            <w:pPr>
              <w:pStyle w:val="Compact"/>
              <w:jc w:val="left"/>
            </w:pPr>
            <w:r>
              <w:t xml:space="preserve">TOTAL AMOUNT DUE (USD)</w:t>
            </w:r>
          </w:p>
        </w:tc>
        <w:tc>
          <w:tcPr/>
          <w:p>
            <w:pPr>
              <w:pStyle w:val="Compact"/>
              <w:jc w:val="right"/>
            </w:pPr>
            <w:r>
              <w:t xml:space="preserve">$42,623.60</w:t>
            </w:r>
          </w:p>
        </w:tc>
      </w:tr>
    </w:tbl>
    <w:bookmarkStart w:id="24" w:name="payment-instructions"/>
    <w:p>
      <w:pPr>
        <w:pStyle w:val="Heading3"/>
      </w:pPr>
      <w:r>
        <w:t xml:space="preserve">Payment Instructions</w:t>
      </w:r>
    </w:p>
    <w:p>
      <w:pPr>
        <w:pStyle w:val="FirstParagraph"/>
      </w:pPr>
      <w:r>
        <w:t xml:space="preserve">This Invoice must be settled within thirty (30) calendar days from the issue date. Payment may be made via international wire transfer (SWIFT) to the following account:</w:t>
      </w:r>
    </w:p>
    <w:p>
      <w:pPr>
        <w:pStyle w:val="BodyText"/>
      </w:pPr>
      <w:r>
        <w:rPr>
          <w:bCs/>
          <w:b/>
        </w:rPr>
        <w:t xml:space="preserve">Bank:</w:t>
      </w:r>
      <w:r>
        <w:t xml:space="preserve"> </w:t>
      </w:r>
      <w:r>
        <w:t xml:space="preserve">Banco Mercantil, C.A. – Caracas Branch, Venezuela Caracas</w:t>
      </w:r>
    </w:p>
    <w:p>
      <w:pPr>
        <w:pStyle w:val="BodyText"/>
      </w:pPr>
      <w:r>
        <w:rPr>
          <w:bCs/>
          <w:b/>
        </w:rPr>
        <w:t xml:space="preserve">Account Name:</w:t>
      </w:r>
      <w:r>
        <w:t xml:space="preserve"> </w:t>
      </w:r>
      <w:r>
        <w:t xml:space="preserve">Caracas Strategic Advisory Group, C.A.</w:t>
      </w:r>
    </w:p>
    <w:p>
      <w:pPr>
        <w:pStyle w:val="BodyText"/>
      </w:pPr>
      <w:r>
        <w:rPr>
          <w:bCs/>
          <w:b/>
        </w:rPr>
        <w:t xml:space="preserve">IBAN:</w:t>
      </w:r>
      <w:r>
        <w:t xml:space="preserve"> </w:t>
      </w:r>
      <w:r>
        <w:t xml:space="preserve">VE01010200000000000123456789</w:t>
      </w:r>
    </w:p>
    <w:p>
      <w:pPr>
        <w:pStyle w:val="BodyText"/>
      </w:pPr>
      <w:r>
        <w:rPr>
          <w:bCs/>
          <w:b/>
        </w:rPr>
        <w:t xml:space="preserve">SWIFT Code:</w:t>
      </w:r>
      <w:r>
        <w:t xml:space="preserve"> </w:t>
      </w:r>
      <w:r>
        <w:t xml:space="preserve">BMECVECA</w:t>
      </w:r>
    </w:p>
    <w:p>
      <w:pPr>
        <w:pStyle w:val="BodyText"/>
      </w:pPr>
      <w:r>
        <w:rPr>
          <w:bCs/>
          <w:b/>
        </w:rPr>
        <w:t xml:space="preserve">Reference:</w:t>
      </w:r>
      <w:r>
        <w:t xml:space="preserve"> </w:t>
      </w:r>
      <w:r>
        <w:t xml:space="preserve">Invoice No. CSA-2025-0487</w:t>
      </w:r>
    </w:p>
    <w:p>
      <w:pPr>
        <w:pStyle w:val="BodyText"/>
      </w:pPr>
      <w:r>
        <w:rPr>
          <w:iCs/>
          <w:i/>
        </w:rPr>
        <w:t xml:space="preserve">Please note: A late payment penalty of 1.5% per month will be applied to any outstanding balance after the due date, in accordance with Venezuelan commercial law.</w:t>
      </w:r>
    </w:p>
    <w:bookmarkEnd w:id="24"/>
    <w:bookmarkStart w:id="25" w:name="important-notes-terms"/>
    <w:p>
      <w:pPr>
        <w:pStyle w:val="Heading3"/>
      </w:pPr>
      <w:r>
        <w:t xml:space="preserve">Important Notes &amp; Terms</w:t>
      </w:r>
    </w:p>
    <w:p>
      <w:pPr>
        <w:numPr>
          <w:ilvl w:val="0"/>
          <w:numId w:val="1001"/>
        </w:numPr>
        <w:pStyle w:val="Compact"/>
      </w:pPr>
      <w:r>
        <w:t xml:space="preserve">This Invoice represents the final billing for all Business Consultant services rendered during the period of January 2025 through June 2025. No additional charges will be incurred beyond the amounts listed herein.</w:t>
      </w:r>
    </w:p>
    <w:p>
      <w:pPr>
        <w:numPr>
          <w:ilvl w:val="0"/>
          <w:numId w:val="1001"/>
        </w:numPr>
        <w:pStyle w:val="Compact"/>
      </w:pPr>
      <w:r>
        <w:t xml:space="preserve">All services were performed by certified Business Consultant professionals registered with the Colegio de Consultores de Venezuela, operating out of our principal office in Venezuela Caracas.</w:t>
      </w:r>
    </w:p>
    <w:p>
      <w:pPr>
        <w:numPr>
          <w:ilvl w:val="0"/>
          <w:numId w:val="1001"/>
        </w:numPr>
        <w:pStyle w:val="Compact"/>
      </w:pPr>
      <w:r>
        <w:t xml:space="preserve">The client acknowledges receipt of all deliverables, including the Strategic Roadmap Document, Financial Audit Report, Market Intelligence Brief, Training Completion Certificates, Compliance Checklist, and Digital Transformation Plan.</w:t>
      </w:r>
    </w:p>
    <w:p>
      <w:pPr>
        <w:numPr>
          <w:ilvl w:val="0"/>
          <w:numId w:val="1001"/>
        </w:numPr>
        <w:pStyle w:val="Compact"/>
      </w:pPr>
      <w:r>
        <w:t xml:space="preserve">Confidentiality: All information exchanged during the engagement is subject to a Non-Disclosure Agreement (NDA) executed on January 5, 2025. The Business Consultant firm guarantees full data protection in compliance with Venezuelan data privacy regulations.</w:t>
      </w:r>
    </w:p>
    <w:p>
      <w:pPr>
        <w:numPr>
          <w:ilvl w:val="0"/>
          <w:numId w:val="1001"/>
        </w:numPr>
        <w:pStyle w:val="Compact"/>
      </w:pPr>
      <w:r>
        <w:t xml:space="preserve">This Invoice is valid for a period of ninety (90) days from the date of issue. After this period, the client must request a reissued Invoice from our billing department in Venezuela Caracas.</w:t>
      </w:r>
    </w:p>
    <w:p>
      <w:pPr>
        <w:numPr>
          <w:ilvl w:val="0"/>
          <w:numId w:val="1001"/>
        </w:numPr>
        <w:pStyle w:val="Compact"/>
      </w:pPr>
      <w:r>
        <w:t xml:space="preserve">For any disputes regarding this Invoice, both parties agree to resolve matters through arbitration in Venezuela Caracas, in accordance with the Ley de Arbitraje vigente.</w:t>
      </w:r>
    </w:p>
    <w:bookmarkEnd w:id="25"/>
    <w:p>
      <w:pPr>
        <w:pStyle w:val="FirstParagraph"/>
      </w:pPr>
      <w:r>
        <w:rPr>
          <w:bCs/>
          <w:b/>
        </w:rPr>
        <w:t xml:space="preserve">Caracas Strategic Advisory Group, C.A.</w:t>
      </w:r>
      <w:r>
        <w:t xml:space="preserve"> </w:t>
      </w:r>
      <w:r>
        <w:t xml:space="preserve">– Professional Business Consultant Firm</w:t>
      </w:r>
    </w:p>
    <w:p>
      <w:pPr>
        <w:pStyle w:val="BodyText"/>
      </w:pPr>
      <w:r>
        <w:t xml:space="preserve">Registered in Venezuela Caracas | RIF: J-40125876-3 | SENIAT Compliant</w:t>
      </w:r>
    </w:p>
    <w:p>
      <w:pPr>
        <w:pStyle w:val="BodyText"/>
      </w:pPr>
      <w:r>
        <w:t xml:space="preserve">This Invoice was generated electronically and is valid without a physical signature per Venezuelan commercial regulations.</w:t>
      </w:r>
    </w:p>
    <w:p>
      <w:pPr>
        <w:pStyle w:val="BodyText"/>
      </w:pPr>
      <w:r>
        <w:t xml:space="preserve">Document Reference: INV-CSA-2025-0487 | Generated: June 15, 2025 | Page 1 of 1</w:t>
      </w:r>
    </w:p>
    <w:p>
      <w:pPr>
        <w:pStyle w:val="BodyText"/>
      </w:pPr>
      <w:r>
        <w:t xml:space="preserve">Thank you for choosing our Business Consultant services in Venezuela Caracas. We value your partnership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Venezuela Caracas</dc:title>
  <dc:creator/>
  <dc:language>en</dc:language>
  <cp:keywords/>
  <dcterms:created xsi:type="dcterms:W3CDTF">2026-10-10T03:18:38Z</dcterms:created>
  <dcterms:modified xsi:type="dcterms:W3CDTF">2026-10-10T03:18:38Z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