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Business</w:t>
      </w:r>
      <w:r>
        <w:t xml:space="preserve"> </w:t>
      </w:r>
      <w:r>
        <w:t xml:space="preserve">Consultant</w:t>
      </w:r>
      <w:r>
        <w:t xml:space="preserve"> </w:t>
      </w:r>
      <w:r>
        <w:t xml:space="preserve">Services</w:t>
      </w:r>
      <w:r>
        <w:t xml:space="preserve"> </w:t>
      </w:r>
      <w:r>
        <w:t xml:space="preserve">-</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0" w:name="apex-strategic-advisory-co.-ltd."/>
    <w:p>
      <w:pPr>
        <w:pStyle w:val="Heading1"/>
      </w:pPr>
      <w:r>
        <w:t xml:space="preserve">Apex Strategic Advisory Co., Ltd.</w:t>
      </w:r>
    </w:p>
    <w:p>
      <w:pPr>
        <w:pStyle w:val="FirstParagraph"/>
      </w:pPr>
      <w:r>
        <w:t xml:space="preserve">Business Consultant Services</w:t>
      </w:r>
    </w:p>
    <w:p>
      <w:pPr>
        <w:pStyle w:val="BodyText"/>
      </w:pPr>
      <w:r>
        <w:t xml:space="preserve">Level 24, Bitexco Financial Tower, 2 Hải Triều Street</w:t>
      </w:r>
    </w:p>
    <w:p>
      <w:pPr>
        <w:pStyle w:val="BodyText"/>
      </w:pPr>
      <w:r>
        <w:t xml:space="preserve">Bến Nghé Ward, District 1, Vietnam Ho Chi Minh City</w:t>
      </w:r>
    </w:p>
    <w:p>
      <w:pPr>
        <w:pStyle w:val="BodyText"/>
      </w:pPr>
      <w:r>
        <w:t xml:space="preserve">Tax Code (MST): 0312345678</w:t>
      </w:r>
    </w:p>
    <w:p>
      <w:pPr>
        <w:pStyle w:val="BodyText"/>
      </w:pPr>
      <w:r>
        <w:t xml:space="preserve">Email: billing@apexadvisory.vn | Tel: +84 28 3822 1234</w:t>
      </w:r>
    </w:p>
    <w:bookmarkEnd w:id="20"/>
    <w:bookmarkStart w:id="21" w:name="invoice"/>
    <w:p>
      <w:pPr>
        <w:pStyle w:val="Heading2"/>
      </w:pPr>
      <w:r>
        <w:t xml:space="preserve">INVOICE</w:t>
      </w:r>
    </w:p>
    <w:p>
      <w:pPr>
        <w:pStyle w:val="FirstParagraph"/>
      </w:pPr>
      <w:r>
        <w:t xml:space="preserve">Business Consultant</w:t>
      </w:r>
    </w:p>
    <w:p>
      <w:pPr>
        <w:pStyle w:val="BodyText"/>
      </w:pPr>
      <w:r>
        <w:t xml:space="preserve">Invoice No: INV-2025-HCM-0472</w:t>
      </w:r>
    </w:p>
    <w:p>
      <w:pPr>
        <w:pStyle w:val="BodyText"/>
      </w:pPr>
      <w:r>
        <w:t xml:space="preserve">Date Issued: 15 June 2025</w:t>
      </w:r>
    </w:p>
    <w:p>
      <w:pPr>
        <w:pStyle w:val="BodyText"/>
      </w:pPr>
      <w:r>
        <w:t xml:space="preserve">Due Date: 30 June 2025</w:t>
      </w:r>
    </w:p>
    <w:bookmarkEnd w:id="21"/>
    <w:bookmarkStart w:id="22" w:name="bill-to-client"/>
    <w:p>
      <w:pPr>
        <w:pStyle w:val="Heading3"/>
      </w:pPr>
      <w:r>
        <w:t xml:space="preserve">Bill To (Client)</w:t>
      </w:r>
    </w:p>
    <w:p>
      <w:pPr>
        <w:pStyle w:val="FirstParagraph"/>
      </w:pPr>
      <w:r>
        <w:t xml:space="preserve">Company:</w:t>
      </w:r>
      <w:r>
        <w:t xml:space="preserve"> </w:t>
      </w:r>
      <w:r>
        <w:t xml:space="preserve">Saigon Pacific Trading JSC</w:t>
      </w:r>
    </w:p>
    <w:p>
      <w:pPr>
        <w:pStyle w:val="BodyText"/>
      </w:pPr>
      <w:r>
        <w:t xml:space="preserve">Address:</w:t>
      </w:r>
      <w:r>
        <w:t xml:space="preserve"> </w:t>
      </w:r>
      <w:r>
        <w:t xml:space="preserve">128 Nguyễn Huệ Street, Bến Nghé Ward, District 1, Vietnam Ho Chi Minh City</w:t>
      </w:r>
    </w:p>
    <w:p>
      <w:pPr>
        <w:pStyle w:val="BodyText"/>
      </w:pPr>
      <w:r>
        <w:t xml:space="preserve">Tax Code:</w:t>
      </w:r>
      <w:r>
        <w:t xml:space="preserve"> </w:t>
      </w:r>
      <w:r>
        <w:t xml:space="preserve">0309876543</w:t>
      </w:r>
    </w:p>
    <w:p>
      <w:pPr>
        <w:pStyle w:val="BodyText"/>
      </w:pPr>
      <w:r>
        <w:t xml:space="preserve">Contact:</w:t>
      </w:r>
      <w:r>
        <w:t xml:space="preserve"> </w:t>
      </w:r>
      <w:r>
        <w:t xml:space="preserve">Mr. Trần Văn Hùng – CFO</w:t>
      </w:r>
    </w:p>
    <w:p>
      <w:pPr>
        <w:pStyle w:val="BodyText"/>
      </w:pPr>
      <w:r>
        <w:t xml:space="preserve">Email:</w:t>
      </w:r>
      <w:r>
        <w:t xml:space="preserve"> </w:t>
      </w:r>
      <w:r>
        <w:t xml:space="preserve">finance@saigonpacific.vn</w:t>
      </w:r>
    </w:p>
    <w:bookmarkEnd w:id="22"/>
    <w:bookmarkStart w:id="23" w:name="service-provider"/>
    <w:p>
      <w:pPr>
        <w:pStyle w:val="Heading3"/>
      </w:pPr>
      <w:r>
        <w:t xml:space="preserve">Service Provider</w:t>
      </w:r>
    </w:p>
    <w:p>
      <w:pPr>
        <w:pStyle w:val="FirstParagraph"/>
      </w:pPr>
      <w:r>
        <w:t xml:space="preserve">Role:</w:t>
      </w:r>
      <w:r>
        <w:t xml:space="preserve"> </w:t>
      </w:r>
      <w:r>
        <w:t xml:space="preserve">Senior Business Consultant</w:t>
      </w:r>
    </w:p>
    <w:p>
      <w:pPr>
        <w:pStyle w:val="BodyText"/>
      </w:pPr>
      <w:r>
        <w:t xml:space="preserve">Consultant:</w:t>
      </w:r>
      <w:r>
        <w:t xml:space="preserve"> </w:t>
      </w:r>
      <w:r>
        <w:t xml:space="preserve">Ms. Nguyễn Thị Lan Anh</w:t>
      </w:r>
    </w:p>
    <w:p>
      <w:pPr>
        <w:pStyle w:val="BodyText"/>
      </w:pPr>
      <w:r>
        <w:t xml:space="preserve">Specialization:</w:t>
      </w:r>
      <w:r>
        <w:t xml:space="preserve"> </w:t>
      </w:r>
      <w:r>
        <w:t xml:space="preserve">Market Entry &amp; Operational Strategy</w:t>
      </w:r>
    </w:p>
    <w:p>
      <w:pPr>
        <w:pStyle w:val="BodyText"/>
      </w:pPr>
      <w:r>
        <w:t xml:space="preserve">Project Ref:</w:t>
      </w:r>
      <w:r>
        <w:t xml:space="preserve"> </w:t>
      </w:r>
      <w:r>
        <w:t xml:space="preserve">HCM-2025-Q2-SP-019</w:t>
      </w:r>
    </w:p>
    <w:p>
      <w:pPr>
        <w:pStyle w:val="BodyText"/>
      </w:pPr>
      <w:r>
        <w:t xml:space="preserve">Engagement Period:</w:t>
      </w:r>
      <w:r>
        <w:t xml:space="preserve"> </w:t>
      </w:r>
      <w:r>
        <w:t xml:space="preserve">01 Apr 2025 – 30 Jun 2025</w:t>
      </w:r>
    </w:p>
    <w:bookmarkEnd w:id="23"/>
    <w:tbl>
      <w:tblPr>
        <w:tblStyle w:val="Table"/>
        <w:tblW w:type="pct" w:w="500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Business Consultant Services</w:t>
            </w:r>
          </w:p>
        </w:tc>
        <w:tc>
          <w:tcPr/>
          <w:p>
            <w:pPr>
              <w:pStyle w:val="Compact"/>
              <w:jc w:val="left"/>
            </w:pPr>
            <w:r>
              <w:t xml:space="preserve">Duration</w:t>
            </w:r>
          </w:p>
        </w:tc>
        <w:tc>
          <w:tcPr/>
          <w:p>
            <w:pPr>
              <w:pStyle w:val="Compact"/>
              <w:jc w:val="left"/>
            </w:pPr>
            <w:r>
              <w:t xml:space="preserve">Rate (VND)</w:t>
            </w:r>
          </w:p>
        </w:tc>
        <w:tc>
          <w:tcPr/>
          <w:p>
            <w:pPr>
              <w:pStyle w:val="Compact"/>
              <w:jc w:val="left"/>
            </w:pPr>
            <w:r>
              <w:t xml:space="preserve">Amount (VND)</w:t>
            </w:r>
          </w:p>
        </w:tc>
        <w:tc>
          <w:tcPr/>
          <w:p>
            <w:pPr>
              <w:pStyle w:val="Compact"/>
              <w:jc w:val="left"/>
            </w:pPr>
            <w:r>
              <w:t xml:space="preserve">VAT 10%</w:t>
            </w:r>
          </w:p>
        </w:tc>
      </w:tr>
      <w:tr>
        <w:tc>
          <w:tcPr/>
          <w:p>
            <w:pPr>
              <w:pStyle w:val="Compact"/>
              <w:jc w:val="left"/>
            </w:pPr>
            <w:r>
              <w:t xml:space="preserve">1</w:t>
            </w:r>
          </w:p>
        </w:tc>
        <w:tc>
          <w:tcPr/>
          <w:p>
            <w:pPr>
              <w:pStyle w:val="Compact"/>
              <w:jc w:val="left"/>
            </w:pPr>
            <w:r>
              <w:rPr>
                <w:bCs/>
                <w:b/>
              </w:rPr>
              <w:t xml:space="preserve">Market Research &amp; Competitive Analysis</w:t>
            </w:r>
          </w:p>
          <w:p>
            <w:pPr>
              <w:jc w:val="left"/>
            </w:pPr>
            <w:r>
              <w:t xml:space="preserve">Comprehensive Business Consultant engagement covering consumer behavior analysis, competitor benchmarking, and market sizing for the Vietnam Ho Chi Minh City metropolitan region. Includes delivery of a 45-page strategic report with actionable recommendations.</w:t>
            </w:r>
          </w:p>
        </w:tc>
        <w:tc>
          <w:tcPr/>
          <w:p>
            <w:pPr>
              <w:pStyle w:val="Compact"/>
              <w:jc w:val="left"/>
            </w:pPr>
            <w:r>
              <w:t xml:space="preserve">3 weeks</w:t>
            </w:r>
          </w:p>
        </w:tc>
        <w:tc>
          <w:tcPr/>
          <w:p>
            <w:pPr>
              <w:pStyle w:val="Compact"/>
              <w:jc w:val="left"/>
            </w:pPr>
            <w:r>
              <w:t xml:space="preserve">18,500,000</w:t>
            </w:r>
          </w:p>
        </w:tc>
        <w:tc>
          <w:tcPr/>
          <w:p>
            <w:pPr>
              <w:pStyle w:val="Compact"/>
              <w:jc w:val="left"/>
            </w:pPr>
            <w:r>
              <w:t xml:space="preserve">55,500,000</w:t>
            </w:r>
          </w:p>
        </w:tc>
        <w:tc>
          <w:tcPr/>
          <w:p>
            <w:pPr>
              <w:pStyle w:val="Compact"/>
              <w:jc w:val="left"/>
            </w:pPr>
            <w:r>
              <w:t xml:space="preserve">5,550,000</w:t>
            </w:r>
          </w:p>
        </w:tc>
      </w:tr>
      <w:tr>
        <w:tc>
          <w:tcPr/>
          <w:p>
            <w:pPr>
              <w:pStyle w:val="Compact"/>
              <w:jc w:val="left"/>
            </w:pPr>
            <w:r>
              <w:t xml:space="preserve">2</w:t>
            </w:r>
          </w:p>
        </w:tc>
        <w:tc>
          <w:tcPr/>
          <w:p>
            <w:pPr>
              <w:pStyle w:val="Compact"/>
              <w:jc w:val="left"/>
            </w:pPr>
            <w:r>
              <w:rPr>
                <w:bCs/>
                <w:b/>
              </w:rPr>
              <w:t xml:space="preserve">Operational Process Optimization</w:t>
            </w:r>
          </w:p>
          <w:p>
            <w:pPr>
              <w:jc w:val="left"/>
            </w:pPr>
            <w:r>
              <w:t xml:space="preserve">On-site Business Consultant assessment of the client's supply chain and logistics operations in Vietnam Ho Chi Minh City. Includes workflow mapping, bottleneck identification, and implementation of lean management principles across three warehouse facilities.</w:t>
            </w:r>
          </w:p>
        </w:tc>
        <w:tc>
          <w:tcPr/>
          <w:p>
            <w:pPr>
              <w:pStyle w:val="Compact"/>
              <w:jc w:val="left"/>
            </w:pPr>
            <w:r>
              <w:t xml:space="preserve">4 weeks</w:t>
            </w:r>
          </w:p>
        </w:tc>
        <w:tc>
          <w:tcPr/>
          <w:p>
            <w:pPr>
              <w:pStyle w:val="Compact"/>
              <w:jc w:val="left"/>
            </w:pPr>
            <w:r>
              <w:t xml:space="preserve">22,000,000</w:t>
            </w:r>
          </w:p>
        </w:tc>
        <w:tc>
          <w:tcPr/>
          <w:p>
            <w:pPr>
              <w:pStyle w:val="Compact"/>
              <w:jc w:val="left"/>
            </w:pPr>
            <w:r>
              <w:t xml:space="preserve">88,000,000</w:t>
            </w:r>
          </w:p>
        </w:tc>
        <w:tc>
          <w:tcPr/>
          <w:p>
            <w:pPr>
              <w:pStyle w:val="Compact"/>
              <w:jc w:val="left"/>
            </w:pPr>
            <w:r>
              <w:t xml:space="preserve">8,800,000</w:t>
            </w:r>
          </w:p>
        </w:tc>
      </w:tr>
      <w:tr>
        <w:tc>
          <w:tcPr/>
          <w:p>
            <w:pPr>
              <w:pStyle w:val="Compact"/>
              <w:jc w:val="left"/>
            </w:pPr>
            <w:r>
              <w:t xml:space="preserve">3</w:t>
            </w:r>
          </w:p>
        </w:tc>
        <w:tc>
          <w:tcPr/>
          <w:p>
            <w:pPr>
              <w:pStyle w:val="Compact"/>
              <w:jc w:val="left"/>
            </w:pPr>
            <w:r>
              <w:rPr>
                <w:bCs/>
                <w:b/>
              </w:rPr>
              <w:t xml:space="preserve">Financial Modeling &amp; Budget Planning</w:t>
            </w:r>
          </w:p>
          <w:p>
            <w:pPr>
              <w:jc w:val="left"/>
            </w:pPr>
            <w:r>
              <w:t xml:space="preserve">Business Consultant preparation of a 3-year financial projection model, capital expenditure plan, and quarterly budget framework tailored to the regulatory and tax environment of Vietnam Ho Chi Minh City. Includes sensitivity analysis and scenario planning.</w:t>
            </w:r>
          </w:p>
        </w:tc>
        <w:tc>
          <w:tcPr/>
          <w:p>
            <w:pPr>
              <w:pStyle w:val="Compact"/>
              <w:jc w:val="left"/>
            </w:pPr>
            <w:r>
              <w:t xml:space="preserve">2 weeks</w:t>
            </w:r>
          </w:p>
        </w:tc>
        <w:tc>
          <w:tcPr/>
          <w:p>
            <w:pPr>
              <w:pStyle w:val="Compact"/>
              <w:jc w:val="left"/>
            </w:pPr>
            <w:r>
              <w:t xml:space="preserve">25,000,000</w:t>
            </w:r>
          </w:p>
        </w:tc>
        <w:tc>
          <w:tcPr/>
          <w:p>
            <w:pPr>
              <w:pStyle w:val="Compact"/>
              <w:jc w:val="left"/>
            </w:pPr>
            <w:r>
              <w:t xml:space="preserve">50,000,000</w:t>
            </w:r>
          </w:p>
        </w:tc>
        <w:tc>
          <w:tcPr/>
          <w:p>
            <w:pPr>
              <w:pStyle w:val="Compact"/>
              <w:jc w:val="left"/>
            </w:pPr>
            <w:r>
              <w:t xml:space="preserve">5,000,000</w:t>
            </w:r>
          </w:p>
        </w:tc>
      </w:tr>
      <w:tr>
        <w:tc>
          <w:tcPr/>
          <w:p>
            <w:pPr>
              <w:pStyle w:val="Compact"/>
              <w:jc w:val="left"/>
            </w:pPr>
            <w:r>
              <w:t xml:space="preserve">4</w:t>
            </w:r>
          </w:p>
        </w:tc>
        <w:tc>
          <w:tcPr/>
          <w:p>
            <w:pPr>
              <w:pStyle w:val="Compact"/>
              <w:jc w:val="left"/>
            </w:pPr>
            <w:r>
              <w:rPr>
                <w:bCs/>
                <w:b/>
              </w:rPr>
              <w:t xml:space="preserve">Executive Training &amp; Knowledge Transfer</w:t>
            </w:r>
          </w:p>
          <w:p>
            <w:pPr>
              <w:jc w:val="left"/>
            </w:pPr>
            <w:r>
              <w:t xml:space="preserve">Four half-day Business Consultant-led workshops for the client's senior management team in Vietnam Ho Chi Minh City. Topics include strategic leadership, change management, and performance KPI design. Materials and certification provided.</w:t>
            </w:r>
          </w:p>
        </w:tc>
        <w:tc>
          <w:tcPr/>
          <w:p>
            <w:pPr>
              <w:pStyle w:val="Compact"/>
              <w:jc w:val="left"/>
            </w:pPr>
            <w:r>
              <w:t xml:space="preserve">4 sessions</w:t>
            </w:r>
          </w:p>
        </w:tc>
        <w:tc>
          <w:tcPr/>
          <w:p>
            <w:pPr>
              <w:pStyle w:val="Compact"/>
              <w:jc w:val="left"/>
            </w:pPr>
            <w:r>
              <w:t xml:space="preserve">12,000,000</w:t>
            </w:r>
          </w:p>
        </w:tc>
        <w:tc>
          <w:tcPr/>
          <w:p>
            <w:pPr>
              <w:pStyle w:val="Compact"/>
              <w:jc w:val="left"/>
            </w:pPr>
            <w:r>
              <w:t xml:space="preserve">48,000,000</w:t>
            </w:r>
          </w:p>
        </w:tc>
        <w:tc>
          <w:tcPr/>
          <w:p>
            <w:pPr>
              <w:pStyle w:val="Compact"/>
              <w:jc w:val="left"/>
            </w:pPr>
            <w:r>
              <w:t xml:space="preserve">4,800,000</w:t>
            </w:r>
          </w:p>
        </w:tc>
      </w:tr>
      <w:tr>
        <w:tc>
          <w:tcPr/>
          <w:p>
            <w:pPr>
              <w:pStyle w:val="Compact"/>
              <w:jc w:val="left"/>
            </w:pPr>
            <w:r>
              <w:t xml:space="preserve">5</w:t>
            </w:r>
          </w:p>
        </w:tc>
        <w:tc>
          <w:tcPr/>
          <w:p>
            <w:pPr>
              <w:pStyle w:val="Compact"/>
              <w:jc w:val="left"/>
            </w:pPr>
            <w:r>
              <w:rPr>
                <w:bCs/>
                <w:b/>
              </w:rPr>
              <w:t xml:space="preserve">Ongoing Advisory &amp; Monthly Reporting</w:t>
            </w:r>
          </w:p>
          <w:p>
            <w:pPr>
              <w:jc w:val="left"/>
            </w:pPr>
            <w:r>
              <w:t xml:space="preserve">Continued Business Consultant support via bi-weekly strategy review meetings, monthly performance dashboards, and ad-hoc advisory calls. Covers the full engagement period in Vietnam Ho Chi Minh City with a dedicated account manager.</w:t>
            </w:r>
          </w:p>
        </w:tc>
        <w:tc>
          <w:tcPr/>
          <w:p>
            <w:pPr>
              <w:pStyle w:val="Compact"/>
              <w:jc w:val="left"/>
            </w:pPr>
            <w:r>
              <w:t xml:space="preserve">3 months</w:t>
            </w:r>
          </w:p>
        </w:tc>
        <w:tc>
          <w:tcPr/>
          <w:p>
            <w:pPr>
              <w:pStyle w:val="Compact"/>
              <w:jc w:val="left"/>
            </w:pPr>
            <w:r>
              <w:t xml:space="preserve">15,000,000</w:t>
            </w:r>
          </w:p>
        </w:tc>
        <w:tc>
          <w:tcPr/>
          <w:p>
            <w:pPr>
              <w:pStyle w:val="Compact"/>
              <w:jc w:val="left"/>
            </w:pPr>
            <w:r>
              <w:t xml:space="preserve">45,000,000</w:t>
            </w:r>
          </w:p>
        </w:tc>
        <w:tc>
          <w:tcPr/>
          <w:p>
            <w:pPr>
              <w:pStyle w:val="Compact"/>
              <w:jc w:val="left"/>
            </w:pPr>
            <w:r>
              <w:t xml:space="preserve">4,500,000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(VND)</w:t>
            </w:r>
          </w:p>
        </w:tc>
        <w:tc>
          <w:tcPr/>
          <w:p>
            <w:pPr>
              <w:pStyle w:val="Compact"/>
              <w:jc w:val="left"/>
            </w:pPr>
            <w:r>
              <w:t xml:space="preserve">286,500,000</w:t>
            </w:r>
          </w:p>
        </w:tc>
      </w:tr>
      <w:tr>
        <w:tc>
          <w:tcPr/>
          <w:p>
            <w:pPr>
              <w:pStyle w:val="Compact"/>
              <w:jc w:val="left"/>
            </w:pPr>
            <w:r>
              <w:t xml:space="preserve">VAT @ 10% (VND)</w:t>
            </w:r>
          </w:p>
        </w:tc>
        <w:tc>
          <w:tcPr/>
          <w:p>
            <w:pPr>
              <w:pStyle w:val="Compact"/>
              <w:jc w:val="left"/>
            </w:pPr>
            <w:r>
              <w:t xml:space="preserve">28,650,000</w:t>
            </w:r>
          </w:p>
        </w:tc>
      </w:tr>
      <w:tr>
        <w:tc>
          <w:tcPr/>
          <w:p>
            <w:pPr>
              <w:pStyle w:val="Compact"/>
              <w:jc w:val="left"/>
            </w:pPr>
            <w:r>
              <w:t xml:space="preserve">Discount – Early Payment (5%)</w:t>
            </w:r>
          </w:p>
        </w:tc>
        <w:tc>
          <w:tcPr/>
          <w:p>
            <w:pPr>
              <w:pStyle w:val="Compact"/>
              <w:jc w:val="left"/>
            </w:pPr>
            <w:r>
              <w:t xml:space="preserve">-14,325,000</w:t>
            </w:r>
          </w:p>
        </w:tc>
      </w:tr>
      <w:tr>
        <w:tc>
          <w:tcPr/>
          <w:p>
            <w:pPr>
              <w:pStyle w:val="Compact"/>
              <w:jc w:val="left"/>
            </w:pPr>
            <w:r>
              <w:t xml:space="preserve">TOTAL PAYABLE (VND)</w:t>
            </w:r>
          </w:p>
        </w:tc>
        <w:tc>
          <w:tcPr/>
          <w:p>
            <w:pPr>
              <w:pStyle w:val="Compact"/>
              <w:jc w:val="left"/>
            </w:pPr>
            <w:r>
              <w:t xml:space="preserve">300,825,000</w:t>
            </w:r>
          </w:p>
        </w:tc>
      </w:tr>
    </w:tbl>
    <w:bookmarkStart w:id="24" w:name="payment-terms-invoice-notes"/>
    <w:p>
      <w:pPr>
        <w:pStyle w:val="Heading3"/>
      </w:pPr>
      <w:r>
        <w:t xml:space="preserve">Payment Terms &amp; Invoice Notes</w:t>
      </w:r>
    </w:p>
    <w:p>
      <w:pPr>
        <w:numPr>
          <w:ilvl w:val="0"/>
          <w:numId w:val="1001"/>
        </w:numPr>
        <w:pStyle w:val="Compact"/>
      </w:pPr>
      <w:r>
        <w:t xml:space="preserve">This Invoice is issued in accordance with the Business Consultant Service Agreement (Contract No. BCA-2025-019) signed on 28 March 2025 between Apex Strategic Advisory Co., Ltd. and Saigon Pacific Trading JSC, both registered in Vietnam Ho Chi Minh City.</w:t>
      </w:r>
    </w:p>
    <w:p>
      <w:pPr>
        <w:numPr>
          <w:ilvl w:val="0"/>
          <w:numId w:val="1001"/>
        </w:numPr>
        <w:pStyle w:val="Compact"/>
      </w:pPr>
      <w:r>
        <w:t xml:space="preserve">Payment is due within 15 calendar days from the Invoice issue date via bank transfer to: Vietcombank, Account No. 0081001234567, Branch: District 1, Vietnam Ho Chi Minh City. Please reference Invoice No. INV-2025-HCM-0472 in your remittance.</w:t>
      </w:r>
    </w:p>
    <w:p>
      <w:pPr>
        <w:numPr>
          <w:ilvl w:val="0"/>
          <w:numId w:val="1001"/>
        </w:numPr>
        <w:pStyle w:val="Compact"/>
      </w:pPr>
      <w:r>
        <w:t xml:space="preserve">All fees stated in this Invoice are in Vietnamese Dong (VND) and are inclusive of applicable Value Added Tax (VAT) at the standard rate of 10% as prescribed by the Vietnam Ministry of Finance.</w:t>
      </w:r>
    </w:p>
    <w:p>
      <w:pPr>
        <w:numPr>
          <w:ilvl w:val="0"/>
          <w:numId w:val="1001"/>
        </w:numPr>
        <w:pStyle w:val="Compact"/>
      </w:pPr>
      <w:r>
        <w:t xml:space="preserve">The Business Consultant services described herein were performed exclusively within the jurisdiction of Vietnam Ho Chi Minh City. Any travel, accommodation, or per diem expenses incurred by the Business Consultant team are included in the rates above and are not billed separately.</w:t>
      </w:r>
    </w:p>
    <w:p>
      <w:pPr>
        <w:numPr>
          <w:ilvl w:val="0"/>
          <w:numId w:val="1001"/>
        </w:numPr>
        <w:pStyle w:val="Compact"/>
      </w:pPr>
      <w:r>
        <w:t xml:space="preserve">Should the client require additional Business Consultant engagements beyond the scope defined in this Invoice, a supplementary Invoice will be issued with a minimum 5-business-day notice prior to commencement of the additional work.</w:t>
      </w:r>
    </w:p>
    <w:p>
      <w:pPr>
        <w:numPr>
          <w:ilvl w:val="0"/>
          <w:numId w:val="1001"/>
        </w:numPr>
        <w:pStyle w:val="Compact"/>
      </w:pPr>
      <w:r>
        <w:t xml:space="preserve">This Invoice is valid for 30 days from the date of issue. Overdue payments will be subject to a late fee of 0.05% per day as stipulated in the master Business Consultant agreement.</w:t>
      </w:r>
    </w:p>
    <w:p>
      <w:pPr>
        <w:numPr>
          <w:ilvl w:val="0"/>
          <w:numId w:val="1001"/>
        </w:numPr>
        <w:pStyle w:val="Compact"/>
      </w:pPr>
      <w:r>
        <w:t xml:space="preserve">For any discrepancies or questions regarding this Invoice, please contact our billing department in Vietnam Ho Chi Minh City at billing@apexadvisory.vn or +84 28 3822 1234, extension 201, within 5 business days of receipt.</w:t>
      </w:r>
    </w:p>
    <w:bookmarkEnd w:id="24"/>
    <w:p>
      <w:pPr>
        <w:pStyle w:val="FirstParagraph"/>
      </w:pPr>
      <w:r>
        <w:rPr>
          <w:bCs/>
          <w:b/>
        </w:rPr>
        <w:t xml:space="preserve">Apex Strategic Advisory Co., Ltd.</w:t>
      </w:r>
      <w:r>
        <w:t xml:space="preserve"> </w:t>
      </w:r>
      <w:r>
        <w:t xml:space="preserve">– Business Consultant Services | Vietnam Ho Chi Minh City</w:t>
      </w:r>
    </w:p>
    <w:p>
      <w:pPr>
        <w:pStyle w:val="BodyText"/>
      </w:pPr>
      <w:r>
        <w:t xml:space="preserve">Level 24, Bitexco Financial Tower, 2 Hải Triều Street, Bến Nghé Ward, District 1, Vietnam Ho Chi Minh City</w:t>
      </w:r>
    </w:p>
    <w:p>
      <w:pPr>
        <w:pStyle w:val="BodyText"/>
      </w:pPr>
      <w:r>
        <w:t xml:space="preserve">Tax Code: 0312345678 | Registration No: 0312345678 | Issued by: Ms. Phạm Thu Hà – Finance Manager</w:t>
      </w:r>
    </w:p>
    <w:p>
      <w:pPr>
        <w:pStyle w:val="BodyText"/>
      </w:pPr>
      <w:r>
        <w:t xml:space="preserve">This Invoice was generated electronically and is valid without a physical signature in compliance with Decree 123/2020/ND-CP on electronic invoicing in Vietnam. Thank you for engaging our Business Consultant team in Vietnam Ho Chi Minh City.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Business Consultant Services - Vietnam Ho Chi Minh City</dc:title>
  <dc:creator/>
  <dc:language>en</dc:language>
  <cp:keywords/>
  <dcterms:created xsi:type="dcterms:W3CDTF">2026-10-10T05:54:38Z</dcterms:created>
  <dcterms:modified xsi:type="dcterms:W3CDTF">2026-10-10T05:54:38Z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