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master-carpenter-co.-ltd."/>
    <w:p>
      <w:pPr>
        <w:pStyle w:val="Heading1"/>
      </w:pPr>
      <w:r>
        <w:t xml:space="preserve">Guangzhou Master Carpenter Co., Ltd.</w:t>
      </w:r>
    </w:p>
    <w:p>
      <w:pPr>
        <w:pStyle w:val="FirstParagraph"/>
      </w:pPr>
      <w:r>
        <w:t xml:space="preserve">No. 88 Tianhe Road, Tianhe District</w:t>
      </w:r>
    </w:p>
    <w:p>
      <w:pPr>
        <w:pStyle w:val="BodyText"/>
      </w:pPr>
      <w:r>
        <w:t xml:space="preserve">Guangzhou, Guangdong Province, China 510600</w:t>
      </w:r>
    </w:p>
    <w:p>
      <w:pPr>
        <w:pStyle w:val="BodyText"/>
      </w:pPr>
      <w:r>
        <w:t xml:space="preserve">Tel: +86-20-8888-6666 | Email: info@gzmastercarpenter.cn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GZC-2025-0714-00382</w:t>
      </w:r>
    </w:p>
    <w:p>
      <w:pPr>
        <w:pStyle w:val="BodyText"/>
      </w:pPr>
      <w:r>
        <w:rPr>
          <w:bCs/>
          <w:b/>
        </w:rPr>
        <w:t xml:space="preserve">Invoice Date:</w:t>
      </w:r>
      <w:r>
        <w:t xml:space="preserve"> </w:t>
      </w:r>
      <w:r>
        <w:t xml:space="preserve">July 14, 2025</w:t>
      </w:r>
    </w:p>
    <w:p>
      <w:pPr>
        <w:pStyle w:val="BodyText"/>
      </w:pPr>
      <w:r>
        <w:rPr>
          <w:bCs/>
          <w:b/>
        </w:rPr>
        <w:t xml:space="preserve">Due Date:</w:t>
      </w:r>
      <w:r>
        <w:t xml:space="preserve"> </w:t>
      </w:r>
      <w:r>
        <w:t xml:space="preserve">August 14, 2025</w:t>
      </w:r>
    </w:p>
    <w:p>
      <w:pPr>
        <w:pStyle w:val="BodyText"/>
      </w:pPr>
      <w:r>
        <w:t xml:space="preserve">Carpenter Services</w:t>
      </w:r>
    </w:p>
    <w:bookmarkEnd w:id="21"/>
    <w:bookmarkStart w:id="22" w:name="billed-to-client"/>
    <w:p>
      <w:pPr>
        <w:pStyle w:val="Heading3"/>
      </w:pPr>
      <w:r>
        <w:t xml:space="preserve">Billed To (Client)</w:t>
      </w:r>
    </w:p>
    <w:p>
      <w:pPr>
        <w:pStyle w:val="FirstParagraph"/>
      </w:pPr>
      <w:r>
        <w:rPr>
          <w:bCs/>
          <w:b/>
        </w:rPr>
        <w:t xml:space="preserve">Guangzhou Pearl River Development Group</w:t>
      </w:r>
    </w:p>
    <w:p>
      <w:pPr>
        <w:pStyle w:val="BodyText"/>
      </w:pPr>
      <w:r>
        <w:t xml:space="preserve">Attn: Mr. Liang Wei, Project Director</w:t>
      </w:r>
    </w:p>
    <w:p>
      <w:pPr>
        <w:pStyle w:val="BodyText"/>
      </w:pPr>
      <w:r>
        <w:t xml:space="preserve">No. 200 Zhujiang New Town, Tianhe District</w:t>
      </w:r>
    </w:p>
    <w:p>
      <w:pPr>
        <w:pStyle w:val="BodyText"/>
      </w:pPr>
      <w:r>
        <w:t xml:space="preserve">Guangzhou, Guangdong Province, China 510620</w:t>
      </w:r>
    </w:p>
    <w:p>
      <w:pPr>
        <w:pStyle w:val="BodyText"/>
      </w:pPr>
      <w:r>
        <w:t xml:space="preserve">Tax ID: 91440106MA9D3F7L2Q</w:t>
      </w:r>
    </w:p>
    <w:p>
      <w:pPr>
        <w:pStyle w:val="BodyText"/>
      </w:pPr>
      <w:r>
        <w:t xml:space="preserve">Email: liang.wei@prdg-group.cn</w:t>
      </w:r>
    </w:p>
    <w:bookmarkEnd w:id="22"/>
    <w:bookmarkStart w:id="23" w:name="service-provider-carpenter"/>
    <w:p>
      <w:pPr>
        <w:pStyle w:val="Heading3"/>
      </w:pPr>
      <w:r>
        <w:t xml:space="preserve">Service Provider (Carpenter)</w:t>
      </w:r>
    </w:p>
    <w:p>
      <w:pPr>
        <w:pStyle w:val="FirstParagraph"/>
      </w:pPr>
      <w:r>
        <w:rPr>
          <w:bCs/>
          <w:b/>
        </w:rPr>
        <w:t xml:space="preserve">Guangzhou Master Carpenter Co., Ltd.</w:t>
      </w:r>
    </w:p>
    <w:p>
      <w:pPr>
        <w:pStyle w:val="BodyText"/>
      </w:pPr>
      <w:r>
        <w:t xml:space="preserve">Lead Carpenter: Master Chen Zhigang</w:t>
      </w:r>
    </w:p>
    <w:p>
      <w:pPr>
        <w:pStyle w:val="BodyText"/>
      </w:pPr>
      <w:r>
        <w:t xml:space="preserve">Certification: Guangdong Provincial Woodworking Guild, Level 1</w:t>
      </w:r>
    </w:p>
    <w:p>
      <w:pPr>
        <w:pStyle w:val="BodyText"/>
      </w:pPr>
      <w:r>
        <w:t xml:space="preserve">License No.: GDC-CARP-2019-04471</w:t>
      </w:r>
    </w:p>
    <w:p>
      <w:pPr>
        <w:pStyle w:val="BodyText"/>
      </w:pPr>
      <w:r>
        <w:t xml:space="preserve">Bank: China Merchants Bank, Guangzhou Branch</w:t>
      </w:r>
    </w:p>
    <w:p>
      <w:pPr>
        <w:pStyle w:val="BodyText"/>
      </w:pPr>
      <w:r>
        <w:t xml:space="preserve">Account: 6225 8801 2025 0714 882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 hardwood cabinetry installation for executive office suite, including precision joinery, dovetail construction, and French polish finish. All materials sourced from certified Guangdong timber suppliers.</w:t>
            </w:r>
          </w:p>
        </w:tc>
        <w:tc>
          <w:tcPr/>
          <w:p>
            <w:pPr>
              <w:pStyle w:val="Compact"/>
              <w:jc w:val="left"/>
            </w:pPr>
            <w:r>
              <w:t xml:space="preserve">Set</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2</w:t>
            </w:r>
          </w:p>
        </w:tc>
        <w:tc>
          <w:tcPr/>
          <w:p>
            <w:pPr>
              <w:pStyle w:val="Compact"/>
              <w:jc w:val="left"/>
            </w:pPr>
            <w:r>
              <w:t xml:space="preserve">Structural carpentry for mezzanine floor framework, including load-bearing beam installation, cross-bracing, and subfloor preparation in accordance with China national building code GB 50017-2017.</w:t>
            </w:r>
          </w:p>
        </w:tc>
        <w:tc>
          <w:tcPr/>
          <w:p>
            <w:pPr>
              <w:pStyle w:val="Compact"/>
              <w:jc w:val="left"/>
            </w:pPr>
            <w:r>
              <w:t xml:space="preserve">Sqm</w:t>
            </w:r>
          </w:p>
        </w:tc>
        <w:tc>
          <w:tcPr/>
          <w:p>
            <w:pPr>
              <w:pStyle w:val="Compact"/>
              <w:jc w:val="left"/>
            </w:pPr>
            <w:r>
              <w:t xml:space="preserve">185</w:t>
            </w:r>
          </w:p>
        </w:tc>
        <w:tc>
          <w:tcPr/>
          <w:p>
            <w:pPr>
              <w:pStyle w:val="Compact"/>
              <w:jc w:val="left"/>
            </w:pPr>
            <w:r>
              <w:t xml:space="preserve">420.00</w:t>
            </w:r>
          </w:p>
        </w:tc>
        <w:tc>
          <w:tcPr/>
          <w:p>
            <w:pPr>
              <w:pStyle w:val="Compact"/>
              <w:jc w:val="left"/>
            </w:pPr>
            <w:r>
              <w:t xml:space="preserve">77,700.00</w:t>
            </w:r>
          </w:p>
        </w:tc>
      </w:tr>
      <w:tr>
        <w:tc>
          <w:tcPr/>
          <w:p>
            <w:pPr>
              <w:pStyle w:val="Compact"/>
              <w:jc w:val="left"/>
            </w:pPr>
            <w:r>
              <w:t xml:space="preserve">3</w:t>
            </w:r>
          </w:p>
        </w:tc>
        <w:tc>
          <w:tcPr/>
          <w:p>
            <w:pPr>
              <w:pStyle w:val="Compact"/>
              <w:jc w:val="left"/>
            </w:pPr>
            <w:r>
              <w:t xml:space="preserve">Traditional Chinese-style lattice window panels (huanglian) hand-carved from aged camphor wood, featuring interlocking geometric patterns. Each panel includes anti-moisture treatment suitable for Guangzhou's subtropical climate.</w:t>
            </w:r>
          </w:p>
        </w:tc>
        <w:tc>
          <w:tcPr/>
          <w:p>
            <w:pPr>
              <w:pStyle w:val="Compact"/>
              <w:jc w:val="left"/>
            </w:pPr>
            <w:r>
              <w:t xml:space="preserve">Panel</w:t>
            </w:r>
          </w:p>
        </w:tc>
        <w:tc>
          <w:tcPr/>
          <w:p>
            <w:pPr>
              <w:pStyle w:val="Compact"/>
              <w:jc w:val="left"/>
            </w:pPr>
            <w:r>
              <w:t xml:space="preserve">12</w:t>
            </w:r>
          </w:p>
        </w:tc>
        <w:tc>
          <w:tcPr/>
          <w:p>
            <w:pPr>
              <w:pStyle w:val="Compact"/>
              <w:jc w:val="left"/>
            </w:pPr>
            <w:r>
              <w:t xml:space="preserve">3,650.00</w:t>
            </w:r>
          </w:p>
        </w:tc>
        <w:tc>
          <w:tcPr/>
          <w:p>
            <w:pPr>
              <w:pStyle w:val="Compact"/>
              <w:jc w:val="left"/>
            </w:pPr>
            <w:r>
              <w:t xml:space="preserve">43,800.00</w:t>
            </w:r>
          </w:p>
        </w:tc>
      </w:tr>
      <w:tr>
        <w:tc>
          <w:tcPr/>
          <w:p>
            <w:pPr>
              <w:pStyle w:val="Compact"/>
              <w:jc w:val="left"/>
            </w:pPr>
            <w:r>
              <w:t xml:space="preserve">4</w:t>
            </w:r>
          </w:p>
        </w:tc>
        <w:tc>
          <w:tcPr/>
          <w:p>
            <w:pPr>
              <w:pStyle w:val="Compact"/>
              <w:jc w:val="left"/>
            </w:pPr>
            <w:r>
              <w:t xml:space="preserve">Restoration and repair of heritage timber columns in the lobby area, including woodworm treatment, structural reinforcement with hidden steel inserts, and period-accurate lacquer application.</w:t>
            </w:r>
          </w:p>
        </w:tc>
        <w:tc>
          <w:tcPr/>
          <w:p>
            <w:pPr>
              <w:pStyle w:val="Compact"/>
              <w:jc w:val="left"/>
            </w:pPr>
            <w:r>
              <w:t xml:space="preserve">Column</w:t>
            </w:r>
          </w:p>
        </w:tc>
        <w:tc>
          <w:tcPr/>
          <w:p>
            <w:pPr>
              <w:pStyle w:val="Compact"/>
              <w:jc w:val="left"/>
            </w:pPr>
            <w:r>
              <w:t xml:space="preserve">6</w:t>
            </w:r>
          </w:p>
        </w:tc>
        <w:tc>
          <w:tcPr/>
          <w:p>
            <w:pPr>
              <w:pStyle w:val="Compact"/>
              <w:jc w:val="left"/>
            </w:pPr>
            <w:r>
              <w:t xml:space="preserve">8,900.00</w:t>
            </w:r>
          </w:p>
        </w:tc>
        <w:tc>
          <w:tcPr/>
          <w:p>
            <w:pPr>
              <w:pStyle w:val="Compact"/>
              <w:jc w:val="left"/>
            </w:pPr>
            <w:r>
              <w:t xml:space="preserve">53,400.00</w:t>
            </w:r>
          </w:p>
        </w:tc>
      </w:tr>
      <w:tr>
        <w:tc>
          <w:tcPr/>
          <w:p>
            <w:pPr>
              <w:pStyle w:val="Compact"/>
              <w:jc w:val="left"/>
            </w:pPr>
            <w:r>
              <w:t xml:space="preserve">5</w:t>
            </w:r>
          </w:p>
        </w:tc>
        <w:tc>
          <w:tcPr/>
          <w:p>
            <w:pPr>
              <w:pStyle w:val="Compact"/>
              <w:jc w:val="left"/>
            </w:pPr>
            <w:r>
              <w:t xml:space="preserve">Custom built-in bookshelves and display niches for the cultural exhibition wing, incorporating adjustable shelving systems and integrated LED lighting channels. All carpentry work completed to museum-grade tolerances.</w:t>
            </w:r>
          </w:p>
        </w:tc>
        <w:tc>
          <w:tcPr/>
          <w:p>
            <w:pPr>
              <w:pStyle w:val="Compact"/>
              <w:jc w:val="left"/>
            </w:pPr>
            <w:r>
              <w:t xml:space="preserve">Run</w:t>
            </w:r>
          </w:p>
        </w:tc>
        <w:tc>
          <w:tcPr/>
          <w:p>
            <w:pPr>
              <w:pStyle w:val="Compact"/>
              <w:jc w:val="left"/>
            </w:pPr>
            <w:r>
              <w:t xml:space="preserve">32</w:t>
            </w:r>
          </w:p>
        </w:tc>
        <w:tc>
          <w:tcPr/>
          <w:p>
            <w:pPr>
              <w:pStyle w:val="Compact"/>
              <w:jc w:val="left"/>
            </w:pPr>
            <w:r>
              <w:t xml:space="preserve">1,250.00</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Site supervision, quality assurance inspection, and final carpentry handover documentation. Includes three on-site visits by the lead Carpenter and a comprehensive maintenance guide for all installed timber elements.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¥ 281,100.00</w:t>
      </w:r>
    </w:p>
    <w:p>
      <w:pPr>
        <w:pStyle w:val="BodyText"/>
      </w:pPr>
      <w:r>
        <w:t xml:space="preserve">VAT (13% - China Standard Rate):</w:t>
      </w:r>
      <w:r>
        <w:t xml:space="preserve">¥ 36,543.00</w:t>
      </w:r>
    </w:p>
    <w:p>
      <w:pPr>
        <w:pStyle w:val="BodyText"/>
      </w:pPr>
      <w:r>
        <w:t xml:space="preserve">Expedited Delivery Surcharge:</w:t>
      </w:r>
      <w:r>
        <w:t xml:space="preserve">¥ 4,500.00</w:t>
      </w:r>
    </w:p>
    <w:p>
      <w:pPr>
        <w:pStyle w:val="BodyText"/>
      </w:pPr>
      <w:r>
        <w:t xml:space="preserve">Grand Total (CNY):</w:t>
      </w:r>
      <w:r>
        <w:t xml:space="preserve">¥ 322,143.00</w:t>
      </w:r>
    </w:p>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July 14, 2025. Payment is to be made via bank transfer to the account specified above. The client is requested to reference Invoice number GZC-2025-0714-00382 in the payment remittance. A late payment penalty of 0.05% per calendar day will be applied to any outstanding balance after the due date of August 14, 2025, in accordance with the terms of the master service agreement. All amounts are denominated in Chinese Yuan (CNY / RMB). For international remittances, please include the SWIFT code CMBCCNBS and the full bank address in Guangzhou, China.</w:t>
      </w:r>
    </w:p>
    <w:bookmarkEnd w:id="24"/>
    <w:bookmarkStart w:id="25" w:name="notes-terms-of-service"/>
    <w:p>
      <w:pPr>
        <w:pStyle w:val="Heading3"/>
      </w:pPr>
      <w:r>
        <w:t xml:space="preserve">Notes &amp; Terms of Service</w:t>
      </w:r>
    </w:p>
    <w:p>
      <w:pPr>
        <w:pStyle w:val="FirstParagraph"/>
      </w:pPr>
      <w:r>
        <w:t xml:space="preserve">1. This Invoice covers all Carpenter services rendered between June 1, 2025, and July 10, 2025, at the client's premises in Tianhe District, Guangzhou, China. All work has been completed and inspected by the lead Carpenter, Master Chen Zhigang, and accepted by the client's project director.</w:t>
      </w:r>
    </w:p>
    <w:p>
      <w:pPr>
        <w:pStyle w:val="BodyText"/>
      </w:pPr>
      <w:r>
        <w:t xml:space="preserve">2. All timber materials used in this project comply with China's national environmental standards (GB 18580-2017) for formaldehyde emission limits. Certificates of material compliance are available upon request and are attached to the final handover package.</w:t>
      </w:r>
    </w:p>
    <w:p>
      <w:pPr>
        <w:pStyle w:val="BodyText"/>
      </w:pPr>
      <w:r>
        <w:t xml:space="preserve">3. A twelve-month warranty is provided on all carpentry workmanship. This warranty covers defects in joinery, structural integrity, and finish quality. The warranty does not cover damage caused by improper maintenance, extreme humidity beyond design parameters, or unauthorized modifications to the installed timber elements.</w:t>
      </w:r>
    </w:p>
    <w:p>
      <w:pPr>
        <w:pStyle w:val="BodyText"/>
      </w:pPr>
      <w:r>
        <w:t xml:space="preserve">4. This Invoice is issued in accordance with the regulations of the State Taxation Administration of China. The client may use this document for their corporate tax deduction purposes. A duplicate Invoice may be requested within ninety (90) days of the original issue date.</w:t>
      </w:r>
    </w:p>
    <w:p>
      <w:pPr>
        <w:pStyle w:val="BodyText"/>
      </w:pPr>
      <w:r>
        <w:t xml:space="preserve">5. Any disputes arising from this Invoice or the associated Carpenter services shall be resolved through arbitration by the Guangzhou Arbitration Commission, in accordance with its rules of procedure. The governing law for this Invoice and all related services is the law of the People's Republic of China.</w:t>
      </w:r>
    </w:p>
    <w:p>
      <w:pPr>
        <w:pStyle w:val="BodyText"/>
      </w:pPr>
      <w:r>
        <w:t xml:space="preserve">6. Guangzhou Master Carpenter Co., Ltd. holds all necessary operating licenses, environmental permits, and occupational safety certifications required to perform carpentry and woodworking services within the administrative boundaries of Guangzhou Municipality, Guangdong Province, China.</w:t>
      </w:r>
    </w:p>
    <w:bookmarkEnd w:id="25"/>
    <w:p>
      <w:pPr>
        <w:pStyle w:val="BodyText"/>
      </w:pPr>
      <w:r>
        <w:rPr>
          <w:bCs/>
          <w:b/>
        </w:rPr>
        <w:t xml:space="preserve">Guangzhou Master Carpenter Co., Ltd.</w:t>
      </w:r>
      <w:r>
        <w:t xml:space="preserve"> </w:t>
      </w:r>
      <w:r>
        <w:t xml:space="preserve">| No. 88 Tianhe Road, Tianhe District, Guangzhou, Guangdong, China 510600</w:t>
      </w:r>
    </w:p>
    <w:p>
      <w:pPr>
        <w:pStyle w:val="BodyText"/>
      </w:pPr>
      <w:r>
        <w:t xml:space="preserve">This Invoice was generated electronically and is valid without a physical signature. For verification, contact our accounts department at +86-20-8888-6666.</w:t>
      </w:r>
    </w:p>
    <w:p>
      <w:pPr>
        <w:pStyle w:val="BodyText"/>
      </w:pPr>
      <w:r>
        <w:t xml:space="preserve">Thank you for choosing our Carpenter services in China Guangzhou. We look forward to continuing our professional partnership.</w:t>
      </w:r>
    </w:p>
    <w:p>
      <w:pPr>
        <w:pStyle w:val="BodyText"/>
      </w:pPr>
      <w:r>
        <w:t xml:space="preserve">Invoice GZC-2025-0714-00382 | Page 1 of 1 | Generated: 2025-07-14 09:32:15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China Guangzhou</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