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robles-hijos-carpintería"/>
    <w:p>
      <w:pPr>
        <w:pStyle w:val="Heading1"/>
      </w:pPr>
      <w:r>
        <w:t xml:space="preserve">Robles &amp; Hijos Carpintería</w:t>
      </w:r>
    </w:p>
    <w:p>
      <w:pPr>
        <w:pStyle w:val="FirstParagraph"/>
      </w:pPr>
      <w:r>
        <w:rPr>
          <w:bCs/>
          <w:b/>
        </w:rPr>
        <w:t xml:space="preserve">Carpenter Services Specialist</w:t>
      </w:r>
    </w:p>
    <w:p>
      <w:pPr>
        <w:pStyle w:val="BodyText"/>
      </w:pPr>
      <w:r>
        <w:t xml:space="preserve">Calle de la Carpintería, 47, 28012</w:t>
      </w:r>
    </w:p>
    <w:p>
      <w:pPr>
        <w:pStyle w:val="BodyText"/>
      </w:pPr>
      <w:r>
        <w:t xml:space="preserve">Spain Madrid, 28012, España</w:t>
      </w:r>
    </w:p>
    <w:p>
      <w:pPr>
        <w:pStyle w:val="BodyText"/>
      </w:pPr>
      <w:r>
        <w:t xml:space="preserve">Tel: +34 915 428 736</w:t>
      </w:r>
    </w:p>
    <w:p>
      <w:pPr>
        <w:pStyle w:val="BodyText"/>
      </w:pPr>
      <w:r>
        <w:t xml:space="preserve">Email: info@robes-carpinteria.es</w:t>
      </w:r>
    </w:p>
    <w:p>
      <w:pPr>
        <w:pStyle w:val="BodyText"/>
      </w:pPr>
      <w:r>
        <w:t xml:space="preserve">NIF: B-84729361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INV-2025-0347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t xml:space="preserve">Carpenter Services – Spain Madrid</w:t>
      </w:r>
    </w:p>
    <w:bookmarkEnd w:id="21"/>
    <w:bookmarkStart w:id="22" w:name="billed-to-client"/>
    <w:p>
      <w:pPr>
        <w:pStyle w:val="Heading3"/>
      </w:pPr>
      <w:r>
        <w:t xml:space="preserve">Billed To (Client)</w:t>
      </w:r>
    </w:p>
    <w:p>
      <w:pPr>
        <w:pStyle w:val="FirstParagraph"/>
      </w:pPr>
      <w:r>
        <w:rPr>
          <w:bCs/>
          <w:b/>
        </w:rPr>
        <w:t xml:space="preserve">María Elena Gutiérrez Fernández</w:t>
      </w:r>
    </w:p>
    <w:p>
      <w:pPr>
        <w:pStyle w:val="BodyText"/>
      </w:pPr>
      <w:r>
        <w:t xml:space="preserve">Residencia Privada Los Olivos</w:t>
      </w:r>
    </w:p>
    <w:p>
      <w:pPr>
        <w:pStyle w:val="BodyText"/>
      </w:pPr>
      <w:r>
        <w:t xml:space="preserve">Av. de la Albufera, 112, 3ºB</w:t>
      </w:r>
    </w:p>
    <w:p>
      <w:pPr>
        <w:pStyle w:val="BodyText"/>
      </w:pPr>
      <w:r>
        <w:t xml:space="preserve">Spain Madrid, 28042, España</w:t>
      </w:r>
    </w:p>
    <w:p>
      <w:pPr>
        <w:pStyle w:val="BodyText"/>
      </w:pPr>
      <w:r>
        <w:t xml:space="preserve">NIF: 48291037-K</w:t>
      </w:r>
    </w:p>
    <w:p>
      <w:pPr>
        <w:pStyle w:val="BodyText"/>
      </w:pPr>
      <w:r>
        <w:t xml:space="preserve">Tel: +34 612 884 209</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Full Interior Carpentry Renovation</w:t>
      </w:r>
    </w:p>
    <w:p>
      <w:pPr>
        <w:pStyle w:val="BodyText"/>
      </w:pPr>
      <w:r>
        <w:rPr>
          <w:bCs/>
          <w:b/>
        </w:rPr>
        <w:t xml:space="preserve">Location:</w:t>
      </w:r>
      <w:r>
        <w:t xml:space="preserve"> </w:t>
      </w:r>
      <w:r>
        <w:t xml:space="preserve">Spain Madrid, Chamberí District</w:t>
      </w:r>
    </w:p>
    <w:p>
      <w:pPr>
        <w:pStyle w:val="BodyText"/>
      </w:pPr>
      <w:r>
        <w:rPr>
          <w:bCs/>
          <w:b/>
        </w:rPr>
        <w:t xml:space="preserve">Start Date:</w:t>
      </w:r>
      <w:r>
        <w:t xml:space="preserve"> </w:t>
      </w:r>
      <w:r>
        <w:t xml:space="preserve">2 June 2025</w:t>
      </w:r>
    </w:p>
    <w:p>
      <w:pPr>
        <w:pStyle w:val="BodyText"/>
      </w:pPr>
      <w:r>
        <w:rPr>
          <w:bCs/>
          <w:b/>
        </w:rPr>
        <w:t xml:space="preserve">Completion Date:</w:t>
      </w:r>
      <w:r>
        <w:t xml:space="preserve"> </w:t>
      </w:r>
      <w:r>
        <w:t xml:space="preserve">13 June 2025</w:t>
      </w:r>
    </w:p>
    <w:p>
      <w:pPr>
        <w:pStyle w:val="BodyText"/>
      </w:pPr>
      <w:r>
        <w:rPr>
          <w:bCs/>
          <w:b/>
        </w:rPr>
        <w:t xml:space="preserve">Carpenter Lead:</w:t>
      </w:r>
      <w:r>
        <w:t xml:space="preserve"> </w:t>
      </w:r>
      <w:r>
        <w:t xml:space="preserve">D. Antonio Robles Vega</w:t>
      </w:r>
    </w:p>
    <w:p>
      <w:pPr>
        <w:pStyle w:val="BodyText"/>
      </w:pPr>
      <w:r>
        <w:rPr>
          <w:bCs/>
          <w:b/>
        </w:rPr>
        <w:t xml:space="preserve">Reference:</w:t>
      </w:r>
      <w:r>
        <w:t xml:space="preserve"> </w:t>
      </w:r>
      <w:r>
        <w:t xml:space="preserve">PRJ-SPM-2025-089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Material / 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Custom-built oak bookshelf installation (3.2m width, 2.4m height) including all joinery, finishing, and hardware fitting in the main living room</w:t>
            </w:r>
          </w:p>
        </w:tc>
        <w:tc>
          <w:tcPr/>
          <w:p>
            <w:pPr>
              <w:pStyle w:val="Compact"/>
              <w:jc w:val="left"/>
            </w:pPr>
            <w:r>
              <w:t xml:space="preserve">Slab Oak / Set</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Replacement of all interior wooden doors (6 units) with solid cherry wood panels, including frames, hinges, and installation throughout the residence</w:t>
            </w:r>
          </w:p>
        </w:tc>
        <w:tc>
          <w:tcPr/>
          <w:p>
            <w:pPr>
              <w:pStyle w:val="Compact"/>
              <w:jc w:val="left"/>
            </w:pPr>
            <w:r>
              <w:t xml:space="preserve">Cherry Wood / Door</w:t>
            </w:r>
          </w:p>
        </w:tc>
        <w:tc>
          <w:tcPr/>
          <w:p>
            <w:pPr>
              <w:pStyle w:val="Compact"/>
              <w:jc w:val="left"/>
            </w:pPr>
            <w:r>
              <w:t xml:space="preserve">6</w:t>
            </w:r>
          </w:p>
        </w:tc>
        <w:tc>
          <w:tcPr/>
          <w:p>
            <w:pPr>
              <w:pStyle w:val="Compact"/>
              <w:jc w:val="left"/>
            </w:pPr>
            <w:r>
              <w:t xml:space="preserve">620.00</w:t>
            </w:r>
          </w:p>
        </w:tc>
        <w:tc>
          <w:tcPr/>
          <w:p>
            <w:pPr>
              <w:pStyle w:val="Compact"/>
              <w:jc w:val="left"/>
            </w:pPr>
            <w:r>
              <w:t xml:space="preserve">3,720.00</w:t>
            </w:r>
          </w:p>
        </w:tc>
      </w:tr>
      <w:tr>
        <w:tc>
          <w:tcPr/>
          <w:p>
            <w:pPr>
              <w:pStyle w:val="Compact"/>
              <w:jc w:val="left"/>
            </w:pPr>
            <w:r>
              <w:t xml:space="preserve">3</w:t>
            </w:r>
          </w:p>
        </w:tc>
        <w:tc>
          <w:tcPr/>
          <w:p>
            <w:pPr>
              <w:pStyle w:val="Compact"/>
              <w:jc w:val="left"/>
            </w:pPr>
            <w:r>
              <w:t xml:space="preserve">Custom kitchen cabinetry – lower and upper units (14 linear metres) in walnut veneer with soft-close mechanisms, countertop edging, and integrated lighting channels</w:t>
            </w:r>
          </w:p>
        </w:tc>
        <w:tc>
          <w:tcPr/>
          <w:p>
            <w:pPr>
              <w:pStyle w:val="Compact"/>
              <w:jc w:val="left"/>
            </w:pPr>
            <w:r>
              <w:t xml:space="preserve">Walnut Veneer / lm</w:t>
            </w:r>
          </w:p>
        </w:tc>
        <w:tc>
          <w:tcPr/>
          <w:p>
            <w:pPr>
              <w:pStyle w:val="Compact"/>
              <w:jc w:val="left"/>
            </w:pPr>
            <w:r>
              <w:t xml:space="preserve">14</w:t>
            </w:r>
          </w:p>
        </w:tc>
        <w:tc>
          <w:tcPr/>
          <w:p>
            <w:pPr>
              <w:pStyle w:val="Compact"/>
              <w:jc w:val="left"/>
            </w:pPr>
            <w:r>
              <w:t xml:space="preserve">485.00</w:t>
            </w:r>
          </w:p>
        </w:tc>
        <w:tc>
          <w:tcPr/>
          <w:p>
            <w:pPr>
              <w:pStyle w:val="Compact"/>
              <w:jc w:val="left"/>
            </w:pPr>
            <w:r>
              <w:t xml:space="preserve">6,790.00</w:t>
            </w:r>
          </w:p>
        </w:tc>
      </w:tr>
      <w:tr>
        <w:tc>
          <w:tcPr/>
          <w:p>
            <w:pPr>
              <w:pStyle w:val="Compact"/>
              <w:jc w:val="left"/>
            </w:pPr>
            <w:r>
              <w:t xml:space="preserve">4</w:t>
            </w:r>
          </w:p>
        </w:tc>
        <w:tc>
          <w:tcPr/>
          <w:p>
            <w:pPr>
              <w:pStyle w:val="Compact"/>
              <w:jc w:val="left"/>
            </w:pPr>
            <w:r>
              <w:t xml:space="preserve">Hardwood parquet flooring – sanding, repair, and re-laying of 85 m² of Spanish oak parquet in the ground-floor hallway and dining area, including underlayment and finishing coats</w:t>
            </w:r>
          </w:p>
        </w:tc>
        <w:tc>
          <w:tcPr/>
          <w:p>
            <w:pPr>
              <w:pStyle w:val="Compact"/>
              <w:jc w:val="left"/>
            </w:pPr>
            <w:r>
              <w:t xml:space="preserve">Spanish Oak / m²</w:t>
            </w:r>
          </w:p>
        </w:tc>
        <w:tc>
          <w:tcPr/>
          <w:p>
            <w:pPr>
              <w:pStyle w:val="Compact"/>
              <w:jc w:val="left"/>
            </w:pPr>
            <w:r>
              <w:t xml:space="preserve">85</w:t>
            </w:r>
          </w:p>
        </w:tc>
        <w:tc>
          <w:tcPr/>
          <w:p>
            <w:pPr>
              <w:pStyle w:val="Compact"/>
              <w:jc w:val="left"/>
            </w:pPr>
            <w:r>
              <w:t xml:space="preserve">42.00</w:t>
            </w:r>
          </w:p>
        </w:tc>
        <w:tc>
          <w:tcPr/>
          <w:p>
            <w:pPr>
              <w:pStyle w:val="Compact"/>
              <w:jc w:val="left"/>
            </w:pPr>
            <w:r>
              <w:t xml:space="preserve">3,570.00</w:t>
            </w:r>
          </w:p>
        </w:tc>
      </w:tr>
      <w:tr>
        <w:tc>
          <w:tcPr/>
          <w:p>
            <w:pPr>
              <w:pStyle w:val="Compact"/>
              <w:jc w:val="left"/>
            </w:pPr>
            <w:r>
              <w:t xml:space="preserve">5</w:t>
            </w:r>
          </w:p>
        </w:tc>
        <w:tc>
          <w:tcPr/>
          <w:p>
            <w:pPr>
              <w:pStyle w:val="Compact"/>
              <w:jc w:val="left"/>
            </w:pPr>
            <w:r>
              <w:t xml:space="preserve">Custom-built wardrobe system (walk-in closet, 4.5m × 2.8m) with sliding doors, internal shelving, hanging rails, and LED strip lighting in the master bedroom</w:t>
            </w:r>
          </w:p>
        </w:tc>
        <w:tc>
          <w:tcPr/>
          <w:p>
            <w:pPr>
              <w:pStyle w:val="Compact"/>
              <w:jc w:val="left"/>
            </w:pPr>
            <w:r>
              <w:t xml:space="preserve">Mixed Timber / Set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Repair and restoration of original 1920s wooden staircase balustrade (22 balusters, handrail, and newel posts) using period-appropriate walnut and traditional joinery techniques</w:t>
            </w:r>
          </w:p>
        </w:tc>
        <w:tc>
          <w:tcPr/>
          <w:p>
            <w:pPr>
              <w:pStyle w:val="Compact"/>
              <w:jc w:val="left"/>
            </w:pPr>
            <w:r>
              <w:t xml:space="preserve">Walnut / Set</w:t>
            </w:r>
          </w:p>
        </w:tc>
        <w:tc>
          <w:tcPr/>
          <w:p>
            <w:pPr>
              <w:pStyle w:val="Compact"/>
              <w:jc w:val="left"/>
            </w:pPr>
            <w:r>
              <w:t xml:space="preserve">1</w:t>
            </w:r>
          </w:p>
        </w:tc>
        <w:tc>
          <w:tcPr/>
          <w:p>
            <w:pPr>
              <w:pStyle w:val="Compact"/>
              <w:jc w:val="left"/>
            </w:pPr>
            <w:r>
              <w:t xml:space="preserve">3,150.00</w:t>
            </w:r>
          </w:p>
        </w:tc>
        <w:tc>
          <w:tcPr/>
          <w:p>
            <w:pPr>
              <w:pStyle w:val="Compact"/>
              <w:jc w:val="left"/>
            </w:pPr>
            <w:r>
              <w:t xml:space="preserve">3,150.00</w:t>
            </w:r>
          </w:p>
        </w:tc>
      </w:tr>
      <w:tr>
        <w:tc>
          <w:tcPr/>
          <w:p>
            <w:pPr>
              <w:pStyle w:val="Compact"/>
              <w:jc w:val="left"/>
            </w:pPr>
            <w:r>
              <w:t xml:space="preserve">7</w:t>
            </w:r>
          </w:p>
        </w:tc>
        <w:tc>
          <w:tcPr/>
          <w:p>
            <w:pPr>
              <w:pStyle w:val="Compact"/>
              <w:jc w:val="left"/>
            </w:pPr>
            <w:r>
              <w:t xml:space="preserve">Site preparation, material delivery to the Spain Madrid address, waste removal, and final clean-up of all carpentry work areas upon completion</w:t>
            </w:r>
          </w:p>
        </w:tc>
        <w:tc>
          <w:tcPr/>
          <w:p>
            <w:pPr>
              <w:pStyle w:val="Compact"/>
              <w:jc w:val="left"/>
            </w:pPr>
            <w:r>
              <w:t xml:space="preserve">Service / 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24,730.00 EUR</w:t>
            </w:r>
          </w:p>
        </w:tc>
      </w:tr>
      <w:tr>
        <w:tc>
          <w:tcPr/>
          <w:p>
            <w:pPr>
              <w:pStyle w:val="Compact"/>
              <w:jc w:val="left"/>
            </w:pPr>
            <w:r>
              <w:t xml:space="preserve">VAT (IVA) – 21% (Spain Madrid standard rate)</w:t>
            </w:r>
          </w:p>
        </w:tc>
        <w:tc>
          <w:tcPr/>
          <w:p>
            <w:pPr>
              <w:pStyle w:val="Compact"/>
              <w:jc w:val="left"/>
            </w:pPr>
            <w:r>
              <w:t xml:space="preserve">5,193.30 EUR</w:t>
            </w:r>
          </w:p>
        </w:tc>
      </w:tr>
      <w:tr>
        <w:tc>
          <w:tcPr/>
          <w:p>
            <w:pPr>
              <w:pStyle w:val="Compact"/>
              <w:jc w:val="left"/>
            </w:pPr>
            <w:r>
              <w:t xml:space="preserve">Local Municipal Surcharge (Madrid)</w:t>
            </w:r>
          </w:p>
        </w:tc>
        <w:tc>
          <w:tcPr/>
          <w:p>
            <w:pPr>
              <w:pStyle w:val="Compact"/>
              <w:jc w:val="left"/>
            </w:pPr>
            <w:r>
              <w:t xml:space="preserve">123.65 EUR</w:t>
            </w:r>
          </w:p>
        </w:tc>
      </w:tr>
      <w:tr>
        <w:tc>
          <w:tcPr/>
          <w:p>
            <w:pPr>
              <w:pStyle w:val="Compact"/>
              <w:jc w:val="left"/>
            </w:pPr>
            <w:r>
              <w:t xml:space="preserve">GRAND TOTAL DUE</w:t>
            </w:r>
          </w:p>
        </w:tc>
        <w:tc>
          <w:tcPr/>
          <w:p>
            <w:pPr>
              <w:pStyle w:val="Compact"/>
              <w:jc w:val="left"/>
            </w:pPr>
            <w:r>
              <w:t xml:space="preserve">30,046.95 EUR</w:t>
            </w:r>
          </w:p>
        </w:tc>
      </w:tr>
    </w:tbl>
    <w:bookmarkStart w:id="24" w:name="invoice-notes-terms-of-service"/>
    <w:p>
      <w:pPr>
        <w:pStyle w:val="Heading3"/>
      </w:pPr>
      <w:r>
        <w:t xml:space="preserve">Invoice Notes &amp; Terms of Service</w:t>
      </w:r>
    </w:p>
    <w:p>
      <w:pPr>
        <w:pStyle w:val="FirstParagraph"/>
      </w:pPr>
      <w:r>
        <w:rPr>
          <w:bCs/>
          <w:b/>
        </w:rPr>
        <w:t xml:space="preserve">1.</w:t>
      </w:r>
      <w:r>
        <w:t xml:space="preserve"> </w:t>
      </w:r>
      <w:r>
        <w:t xml:space="preserve">This Invoice is issued by Robles &amp; Hijos Carpintería, a registered Carpenter services company operating in Spain Madrid, in accordance with the Spanish Commercial Code (Código de Comercio) and applicable regional regulations of the Comunidad de Madrid.</w:t>
      </w:r>
    </w:p>
    <w:p>
      <w:pPr>
        <w:pStyle w:val="BodyText"/>
      </w:pPr>
      <w:r>
        <w:rPr>
          <w:bCs/>
          <w:b/>
        </w:rPr>
        <w:t xml:space="preserve">2.</w:t>
      </w:r>
      <w:r>
        <w:t xml:space="preserve"> </w:t>
      </w:r>
      <w:r>
        <w:t xml:space="preserve">All carpentry work described in this Invoice was performed by qualified and certified Carpenter professionals holding valid credentials issued by the Instituto de Formación Profesional de Madrid. The lead Carpenter, D. Antonio Robles Vega, holds a Master Carpenter (Maestro Carpintero) certification with over 28 years of experience in residential and commercial woodwork.</w:t>
      </w:r>
    </w:p>
    <w:p>
      <w:pPr>
        <w:pStyle w:val="BodyText"/>
      </w:pPr>
      <w:r>
        <w:rPr>
          <w:bCs/>
          <w:b/>
        </w:rPr>
        <w:t xml:space="preserve">3.</w:t>
      </w:r>
      <w:r>
        <w:t xml:space="preserve"> </w:t>
      </w:r>
      <w:r>
        <w:t xml:space="preserve">Payment of this Invoice is due within thirty (30) calendar days from the date of issue. Payment may be made via bank transfer to the following account: IBAN ES91 2100 0418 4502 0005 1332, BIC/SWIFT: CADEESBBXXX, held at Banco Santander, Spain Madrid branch. Please reference Invoice number INV-2025-0347 in all correspondence.</w:t>
      </w:r>
    </w:p>
    <w:p>
      <w:pPr>
        <w:pStyle w:val="BodyText"/>
      </w:pPr>
      <w:r>
        <w:rPr>
          <w:bCs/>
          <w:b/>
        </w:rPr>
        <w:t xml:space="preserve">4.</w:t>
      </w:r>
      <w:r>
        <w:t xml:space="preserve"> </w:t>
      </w:r>
      <w:r>
        <w:t xml:space="preserve">A warranty of twelve (12) months applies to all carpentry workmanship detailed in this Invoice. This warranty covers defects in materials and workmanship under normal domestic use. The warranty does not cover damage caused by negligence, structural movement of the building, or unauthorised modifications to the carpentry work by third parties.</w:t>
      </w:r>
    </w:p>
    <w:p>
      <w:pPr>
        <w:pStyle w:val="BodyText"/>
      </w:pPr>
      <w:r>
        <w:rPr>
          <w:bCs/>
          <w:b/>
        </w:rPr>
        <w:t xml:space="preserve">5.</w:t>
      </w:r>
      <w:r>
        <w:t xml:space="preserve"> </w:t>
      </w:r>
      <w:r>
        <w:t xml:space="preserve">All timber materials used in this project are sourced from certified sustainable forests compliant with FSC (Forest Stewardship Council) standards, in line with the environmental regulations of Spain Madrid and the European Union Timber Regulation (EUTR).</w:t>
      </w:r>
    </w:p>
    <w:p>
      <w:pPr>
        <w:pStyle w:val="BodyText"/>
      </w:pPr>
      <w:r>
        <w:rPr>
          <w:bCs/>
          <w:b/>
        </w:rPr>
        <w:t xml:space="preserve">6.</w:t>
      </w:r>
      <w:r>
        <w:t xml:space="preserve"> </w:t>
      </w:r>
      <w:r>
        <w:t xml:space="preserve">This Invoice constitutes the final settlement for the carpentry project referenced above. Any additional work or variations requested after the completion date must be documented in a separate supplementary Invoice with prior written approval from the client.</w:t>
      </w:r>
    </w:p>
    <w:p>
      <w:pPr>
        <w:pStyle w:val="BodyText"/>
      </w:pPr>
      <w:r>
        <w:rPr>
          <w:bCs/>
          <w:b/>
        </w:rPr>
        <w:t xml:space="preserve">7.</w:t>
      </w:r>
      <w:r>
        <w:t xml:space="preserve"> </w:t>
      </w:r>
      <w:r>
        <w:t xml:space="preserve">In the event of a dispute regarding this Invoice, both parties agree to seek resolution through the Consumer Arbitration Board (Junta Arbitral de Consumo) of the Comunidad de Madrid before pursuing any legal action in the courts of Spain Madrid.</w:t>
      </w:r>
    </w:p>
    <w:bookmarkEnd w:id="24"/>
    <w:p>
      <w:pPr>
        <w:pStyle w:val="BodyText"/>
      </w:pPr>
      <w:r>
        <w:rPr>
          <w:bCs/>
          <w:b/>
        </w:rPr>
        <w:t xml:space="preserve">Robles &amp; Hijos Carpintería</w:t>
      </w:r>
      <w:r>
        <w:t xml:space="preserve"> </w:t>
      </w:r>
      <w:r>
        <w:t xml:space="preserve">– Professional Carpenter Services in Spain Madrid</w:t>
      </w:r>
    </w:p>
    <w:p>
      <w:pPr>
        <w:pStyle w:val="BodyText"/>
      </w:pPr>
      <w:r>
        <w:t xml:space="preserve">Calle de la Carpintería, 47, 28012 Spain Madrid | NIF: B-84729361 | Reg. Mercantil Madrid, Tomo 12.847, Folio 32, Hoja M-218.934</w:t>
      </w:r>
    </w:p>
    <w:p>
      <w:pPr>
        <w:pStyle w:val="BodyText"/>
      </w:pPr>
      <w:r>
        <w:t xml:space="preserve">This Invoice was generated electronically and is valid without a physical signature in accordance with Royal Decree 1619/2012 on electronic invoicing in Spain.</w:t>
      </w:r>
    </w:p>
    <w:p>
      <w:pPr>
        <w:pStyle w:val="BodyText"/>
      </w:pPr>
      <w:r>
        <w:t xml:space="preserve">Thank you for choosing our Carpenter services in Spain Madrid.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Spain Madrid</dc:title>
  <dc:creator/>
  <dc:language>en</dc:language>
  <cp:keywords/>
  <dcterms:created xsi:type="dcterms:W3CDTF">2026-10-10T03:28:51Z</dcterms:created>
  <dcterms:modified xsi:type="dcterms:W3CDTF">2026-10-10T03:28:51Z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