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Miami,</w:t>
      </w:r>
      <w:r>
        <w:t xml:space="preserve"> </w:t>
      </w:r>
      <w:r>
        <w:t xml:space="preserve">United</w:t>
      </w:r>
      <w:r>
        <w:t xml:space="preserve"> </w:t>
      </w:r>
      <w:r>
        <w:t xml:space="preserve">States</w:t>
      </w:r>
    </w:p>
    <w:bookmarkStart w:id="20" w:name="miami-precision-carpenter-co."/>
    <w:p>
      <w:pPr>
        <w:pStyle w:val="Heading1"/>
      </w:pPr>
      <w:r>
        <w:t xml:space="preserve">Miami Precision Carpenter Co.</w:t>
      </w:r>
    </w:p>
    <w:p>
      <w:pPr>
        <w:pStyle w:val="FirstParagraph"/>
      </w:pPr>
      <w:r>
        <w:t xml:space="preserve">1247 Coral Way, Suite 300</w:t>
      </w:r>
    </w:p>
    <w:p>
      <w:pPr>
        <w:pStyle w:val="BodyText"/>
      </w:pPr>
      <w:r>
        <w:t xml:space="preserve">Miami, Florida 33145, United States</w:t>
      </w:r>
    </w:p>
    <w:p>
      <w:pPr>
        <w:pStyle w:val="BodyText"/>
      </w:pPr>
      <w:r>
        <w:t xml:space="preserve">Phone: (305) 555-0187</w:t>
      </w:r>
    </w:p>
    <w:p>
      <w:pPr>
        <w:pStyle w:val="BodyText"/>
      </w:pPr>
      <w:r>
        <w:t xml:space="preserve">Email: billing@miamiprecisioncarpenter.com</w:t>
      </w:r>
    </w:p>
    <w:p>
      <w:pPr>
        <w:pStyle w:val="BodyText"/>
      </w:pPr>
      <w:r>
        <w:t xml:space="preserve">FL Contractor License: CGC-1284756</w:t>
      </w:r>
    </w:p>
    <w:p>
      <w:pPr>
        <w:pStyle w:val="BodyText"/>
      </w:pPr>
      <w:r>
        <w:t xml:space="preserve">Licensed Carpenter – United States Miami</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MPC-2025-0472</w:t>
      </w:r>
    </w:p>
    <w:p>
      <w:pPr>
        <w:pStyle w:val="BodyText"/>
      </w:pPr>
      <w:r>
        <w:rPr>
          <w:bCs/>
          <w:b/>
        </w:rPr>
        <w:t xml:space="preserve">Invoice Date:</w:t>
      </w:r>
      <w:r>
        <w:t xml:space="preserve"> </w:t>
      </w:r>
      <w:r>
        <w:t xml:space="preserve">June 12, 2025</w:t>
      </w:r>
    </w:p>
    <w:p>
      <w:pPr>
        <w:pStyle w:val="BodyText"/>
      </w:pPr>
      <w:r>
        <w:rPr>
          <w:bCs/>
          <w:b/>
        </w:rPr>
        <w:t xml:space="preserve">Due Date:</w:t>
      </w:r>
      <w:r>
        <w:t xml:space="preserve"> </w:t>
      </w:r>
      <w:r>
        <w:t xml:space="preserve">July 12, 2025</w:t>
      </w:r>
    </w:p>
    <w:p>
      <w:pPr>
        <w:pStyle w:val="BodyText"/>
      </w:pPr>
      <w:r>
        <w:rPr>
          <w:bCs/>
          <w:b/>
        </w:rPr>
        <w:t xml:space="preserve">Project Location:</w:t>
      </w:r>
      <w:r>
        <w:t xml:space="preserve"> </w:t>
      </w:r>
      <w:r>
        <w:t xml:space="preserve">Miami, United States</w:t>
      </w:r>
    </w:p>
    <w:bookmarkEnd w:id="21"/>
    <w:bookmarkStart w:id="22" w:name="bill-to"/>
    <w:p>
      <w:pPr>
        <w:pStyle w:val="Heading3"/>
      </w:pPr>
      <w:r>
        <w:t xml:space="preserve">Bill To</w:t>
      </w:r>
    </w:p>
    <w:p>
      <w:pPr>
        <w:pStyle w:val="FirstParagraph"/>
      </w:pPr>
      <w:r>
        <w:rPr>
          <w:bCs/>
          <w:b/>
        </w:rPr>
        <w:t xml:space="preserve">Harold &amp; Denise Whitfield</w:t>
      </w:r>
    </w:p>
    <w:p>
      <w:pPr>
        <w:pStyle w:val="BodyText"/>
      </w:pPr>
      <w:r>
        <w:t xml:space="preserve">2847 Biscayne Boulevard</w:t>
      </w:r>
    </w:p>
    <w:p>
      <w:pPr>
        <w:pStyle w:val="BodyText"/>
      </w:pPr>
      <w:r>
        <w:t xml:space="preserve">Brickell, Miami, Florida 33137</w:t>
      </w:r>
    </w:p>
    <w:p>
      <w:pPr>
        <w:pStyle w:val="BodyText"/>
      </w:pPr>
      <w:r>
        <w:t xml:space="preserve">United States</w:t>
      </w:r>
    </w:p>
    <w:p>
      <w:pPr>
        <w:pStyle w:val="BodyText"/>
      </w:pPr>
      <w:r>
        <w:t xml:space="preserve">Phone: (305) 555-0942</w:t>
      </w:r>
    </w:p>
    <w:p>
      <w:pPr>
        <w:pStyle w:val="BodyText"/>
      </w:pPr>
      <w:r>
        <w:t xml:space="preserve">Email: h.whitfield@email.com</w:t>
      </w:r>
    </w:p>
    <w:bookmarkEnd w:id="22"/>
    <w:bookmarkStart w:id="23" w:name="project-details"/>
    <w:p>
      <w:pPr>
        <w:pStyle w:val="Heading3"/>
      </w:pPr>
      <w:r>
        <w:t xml:space="preserve">Project Details</w:t>
      </w:r>
    </w:p>
    <w:p>
      <w:pPr>
        <w:pStyle w:val="FirstParagraph"/>
      </w:pPr>
      <w:r>
        <w:rPr>
          <w:bCs/>
          <w:b/>
        </w:rPr>
        <w:t xml:space="preserve">Project:</w:t>
      </w:r>
      <w:r>
        <w:t xml:space="preserve"> </w:t>
      </w:r>
      <w:r>
        <w:t xml:space="preserve">Full Interior Carpentry Renovation</w:t>
      </w:r>
    </w:p>
    <w:p>
      <w:pPr>
        <w:pStyle w:val="BodyText"/>
      </w:pPr>
      <w:r>
        <w:rPr>
          <w:bCs/>
          <w:b/>
        </w:rPr>
        <w:t xml:space="preserve">Address:</w:t>
      </w:r>
      <w:r>
        <w:t xml:space="preserve"> </w:t>
      </w:r>
      <w:r>
        <w:t xml:space="preserve">2847 Biscayne Blvd, Miami, FL</w:t>
      </w:r>
    </w:p>
    <w:p>
      <w:pPr>
        <w:pStyle w:val="BodyText"/>
      </w:pPr>
      <w:r>
        <w:rPr>
          <w:bCs/>
          <w:b/>
        </w:rPr>
        <w:t xml:space="preserve">Start Date:</w:t>
      </w:r>
      <w:r>
        <w:t xml:space="preserve"> </w:t>
      </w:r>
      <w:r>
        <w:t xml:space="preserve">May 5, 2025</w:t>
      </w:r>
    </w:p>
    <w:p>
      <w:pPr>
        <w:pStyle w:val="BodyText"/>
      </w:pPr>
      <w:r>
        <w:rPr>
          <w:bCs/>
          <w:b/>
        </w:rPr>
        <w:t xml:space="preserve">Completion Date:</w:t>
      </w:r>
      <w:r>
        <w:t xml:space="preserve"> </w:t>
      </w:r>
      <w:r>
        <w:t xml:space="preserve">June 10, 2025</w:t>
      </w:r>
    </w:p>
    <w:p>
      <w:pPr>
        <w:pStyle w:val="BodyText"/>
      </w:pPr>
      <w:r>
        <w:rPr>
          <w:bCs/>
          <w:b/>
        </w:rPr>
        <w:t xml:space="preserve">Lead Carpenter:</w:t>
      </w:r>
      <w:r>
        <w:t xml:space="preserve"> </w:t>
      </w:r>
      <w:r>
        <w:t xml:space="preserve">Marcus Delgado, Master Carpenter</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Carpenter Services</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001</w:t>
            </w:r>
          </w:p>
        </w:tc>
        <w:tc>
          <w:tcPr/>
          <w:p>
            <w:pPr>
              <w:pStyle w:val="Compact"/>
              <w:jc w:val="left"/>
            </w:pPr>
            <w:r>
              <w:t xml:space="preserve">Custom hardwood flooring installation – Brazilian cherry, living room and dining area (approximately 620 sq. ft.) including subfloor preparation, leveling, and finishing</w:t>
            </w:r>
          </w:p>
        </w:tc>
        <w:tc>
          <w:tcPr/>
          <w:p>
            <w:pPr>
              <w:pStyle w:val="Compact"/>
              <w:jc w:val="left"/>
            </w:pPr>
            <w:r>
              <w:t xml:space="preserve">sq. ft.</w:t>
            </w:r>
          </w:p>
        </w:tc>
        <w:tc>
          <w:tcPr/>
          <w:p>
            <w:pPr>
              <w:pStyle w:val="Compact"/>
              <w:jc w:val="left"/>
            </w:pPr>
            <w:r>
              <w:t xml:space="preserve">620</w:t>
            </w:r>
          </w:p>
        </w:tc>
        <w:tc>
          <w:tcPr/>
          <w:p>
            <w:pPr>
              <w:pStyle w:val="Compact"/>
              <w:jc w:val="left"/>
            </w:pPr>
            <w:r>
              <w:t xml:space="preserve">$18.50</w:t>
            </w:r>
          </w:p>
        </w:tc>
        <w:tc>
          <w:tcPr/>
          <w:p>
            <w:pPr>
              <w:pStyle w:val="Compact"/>
              <w:jc w:val="left"/>
            </w:pPr>
            <w:r>
              <w:t xml:space="preserve">$11,470.00</w:t>
            </w:r>
          </w:p>
        </w:tc>
      </w:tr>
      <w:tr>
        <w:tc>
          <w:tcPr/>
          <w:p>
            <w:pPr>
              <w:pStyle w:val="Compact"/>
              <w:jc w:val="left"/>
            </w:pPr>
            <w:r>
              <w:t xml:space="preserve">002</w:t>
            </w:r>
          </w:p>
        </w:tc>
        <w:tc>
          <w:tcPr/>
          <w:p>
            <w:pPr>
              <w:pStyle w:val="Compact"/>
              <w:jc w:val="left"/>
            </w:pPr>
            <w:r>
              <w:t xml:space="preserve">Custom built-in bookshelf construction and installation – oak hardwood, 14 ft. wide by 8 ft. tall, with adjustable shelving and integrated LED lighting channels</w:t>
            </w:r>
          </w:p>
        </w:tc>
        <w:tc>
          <w:tcPr/>
          <w:p>
            <w:pPr>
              <w:pStyle w:val="Compact"/>
              <w:jc w:val="left"/>
            </w:pPr>
            <w:r>
              <w:t xml:space="preserve">each</w:t>
            </w:r>
          </w:p>
        </w:tc>
        <w:tc>
          <w:tcPr/>
          <w:p>
            <w:pPr>
              <w:pStyle w:val="Compact"/>
              <w:jc w:val="left"/>
            </w:pPr>
            <w:r>
              <w:t xml:space="preserve">1</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003</w:t>
            </w:r>
          </w:p>
        </w:tc>
        <w:tc>
          <w:tcPr/>
          <w:p>
            <w:pPr>
              <w:pStyle w:val="Compact"/>
              <w:jc w:val="left"/>
            </w:pPr>
            <w:r>
              <w:t xml:space="preserve">Kitchen cabinet refacing and hardware replacement – 22 cabinet doors, 14 drawer fronts, new soft-close hinges and pulls, all in white-painted maple</w:t>
            </w:r>
          </w:p>
        </w:tc>
        <w:tc>
          <w:tcPr/>
          <w:p>
            <w:pPr>
              <w:pStyle w:val="Compact"/>
              <w:jc w:val="left"/>
            </w:pPr>
            <w:r>
              <w:t xml:space="preserve">each</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004</w:t>
            </w:r>
          </w:p>
        </w:tc>
        <w:tc>
          <w:tcPr/>
          <w:p>
            <w:pPr>
              <w:pStyle w:val="Compact"/>
              <w:jc w:val="left"/>
            </w:pPr>
            <w:r>
              <w:t xml:space="preserve">Custom crown molding and baseboard installation throughout main floor – 1,150 linear feet of 6-inch quarter-sawn oak, including corner work and paint-ready finish</w:t>
            </w:r>
          </w:p>
        </w:tc>
        <w:tc>
          <w:tcPr/>
          <w:p>
            <w:pPr>
              <w:pStyle w:val="Compact"/>
              <w:jc w:val="left"/>
            </w:pPr>
            <w:r>
              <w:t xml:space="preserve">lin. ft.</w:t>
            </w:r>
          </w:p>
        </w:tc>
        <w:tc>
          <w:tcPr/>
          <w:p>
            <w:pPr>
              <w:pStyle w:val="Compact"/>
              <w:jc w:val="left"/>
            </w:pPr>
            <w:r>
              <w:t xml:space="preserve">1,150</w:t>
            </w:r>
          </w:p>
        </w:tc>
        <w:tc>
          <w:tcPr/>
          <w:p>
            <w:pPr>
              <w:pStyle w:val="Compact"/>
              <w:jc w:val="left"/>
            </w:pPr>
            <w:r>
              <w:t xml:space="preserve">$7.25</w:t>
            </w:r>
          </w:p>
        </w:tc>
        <w:tc>
          <w:tcPr/>
          <w:p>
            <w:pPr>
              <w:pStyle w:val="Compact"/>
              <w:jc w:val="left"/>
            </w:pPr>
            <w:r>
              <w:t xml:space="preserve">$8,337.50</w:t>
            </w:r>
          </w:p>
        </w:tc>
      </w:tr>
      <w:tr>
        <w:tc>
          <w:tcPr/>
          <w:p>
            <w:pPr>
              <w:pStyle w:val="Compact"/>
              <w:jc w:val="left"/>
            </w:pPr>
            <w:r>
              <w:t xml:space="preserve">005</w:t>
            </w:r>
          </w:p>
        </w:tc>
        <w:tc>
          <w:tcPr/>
          <w:p>
            <w:pPr>
              <w:pStyle w:val="Compact"/>
              <w:jc w:val="left"/>
            </w:pPr>
            <w:r>
              <w:t xml:space="preserve">Master bedroom closet system – custom sliding barn-door style, cedar interior, built-in shoe rack, and hanging rods, 10 ft. wide by 7 ft. tall</w:t>
            </w:r>
          </w:p>
        </w:tc>
        <w:tc>
          <w:tcPr/>
          <w:p>
            <w:pPr>
              <w:pStyle w:val="Compact"/>
              <w:jc w:val="left"/>
            </w:pPr>
            <w:r>
              <w:t xml:space="preserve">each</w:t>
            </w:r>
          </w:p>
        </w:tc>
        <w:tc>
          <w:tcPr/>
          <w:p>
            <w:pPr>
              <w:pStyle w:val="Compact"/>
              <w:jc w:val="left"/>
            </w:pPr>
            <w:r>
              <w:t xml:space="preserve">1</w:t>
            </w:r>
          </w:p>
        </w:tc>
        <w:tc>
          <w:tcPr/>
          <w:p>
            <w:pPr>
              <w:pStyle w:val="Compact"/>
              <w:jc w:val="left"/>
            </w:pPr>
            <w:r>
              <w:t xml:space="preserve">$2,975.00</w:t>
            </w:r>
          </w:p>
        </w:tc>
        <w:tc>
          <w:tcPr/>
          <w:p>
            <w:pPr>
              <w:pStyle w:val="Compact"/>
              <w:jc w:val="left"/>
            </w:pPr>
            <w:r>
              <w:t xml:space="preserve">$2,975.00</w:t>
            </w:r>
          </w:p>
        </w:tc>
      </w:tr>
      <w:tr>
        <w:tc>
          <w:tcPr/>
          <w:p>
            <w:pPr>
              <w:pStyle w:val="Compact"/>
              <w:jc w:val="left"/>
            </w:pPr>
            <w:r>
              <w:t xml:space="preserve">006</w:t>
            </w:r>
          </w:p>
        </w:tc>
        <w:tc>
          <w:tcPr/>
          <w:p>
            <w:pPr>
              <w:pStyle w:val="Compact"/>
              <w:jc w:val="left"/>
            </w:pPr>
            <w:r>
              <w:t xml:space="preserve">Exterior front porch railing repair and replacement – pressure-treated tropical hardwood, 48 linear feet, including post reinforcement and anti-humidity sealant for Miami climate</w:t>
            </w:r>
          </w:p>
        </w:tc>
        <w:tc>
          <w:tcPr/>
          <w:p>
            <w:pPr>
              <w:pStyle w:val="Compact"/>
              <w:jc w:val="left"/>
            </w:pPr>
            <w:r>
              <w:t xml:space="preserve">lin. ft.</w:t>
            </w:r>
          </w:p>
        </w:tc>
        <w:tc>
          <w:tcPr/>
          <w:p>
            <w:pPr>
              <w:pStyle w:val="Compact"/>
              <w:jc w:val="left"/>
            </w:pPr>
            <w:r>
              <w:t xml:space="preserve">48</w:t>
            </w:r>
          </w:p>
        </w:tc>
        <w:tc>
          <w:tcPr/>
          <w:p>
            <w:pPr>
              <w:pStyle w:val="Compact"/>
              <w:jc w:val="left"/>
            </w:pPr>
            <w:r>
              <w:t xml:space="preserve">$65.00</w:t>
            </w:r>
          </w:p>
        </w:tc>
        <w:tc>
          <w:tcPr/>
          <w:p>
            <w:pPr>
              <w:pStyle w:val="Compact"/>
              <w:jc w:val="left"/>
            </w:pPr>
            <w:r>
              <w:t xml:space="preserve">$3,120.00</w:t>
            </w:r>
          </w:p>
        </w:tc>
      </w:tr>
      <w:tr>
        <w:tc>
          <w:tcPr/>
          <w:p>
            <w:pPr>
              <w:pStyle w:val="Compact"/>
              <w:jc w:val="left"/>
            </w:pPr>
            <w:r>
              <w:t xml:space="preserve">007</w:t>
            </w:r>
          </w:p>
        </w:tc>
        <w:tc>
          <w:tcPr/>
          <w:p>
            <w:pPr>
              <w:pStyle w:val="Compact"/>
              <w:jc w:val="left"/>
            </w:pPr>
            <w:r>
              <w:t xml:space="preserve">Custom window sash repair and weather-stripping – 8 double-hung windows, full restoration of original 1920s craftsmanship, including paint and hardware</w:t>
            </w:r>
          </w:p>
        </w:tc>
        <w:tc>
          <w:tcPr/>
          <w:p>
            <w:pPr>
              <w:pStyle w:val="Compact"/>
              <w:jc w:val="left"/>
            </w:pPr>
            <w:r>
              <w:t xml:space="preserve">each</w:t>
            </w:r>
          </w:p>
        </w:tc>
        <w:tc>
          <w:tcPr/>
          <w:p>
            <w:pPr>
              <w:pStyle w:val="Compact"/>
              <w:jc w:val="left"/>
            </w:pPr>
            <w:r>
              <w:t xml:space="preserve">8</w:t>
            </w:r>
          </w:p>
        </w:tc>
        <w:tc>
          <w:tcPr/>
          <w:p>
            <w:pPr>
              <w:pStyle w:val="Compact"/>
              <w:jc w:val="left"/>
            </w:pPr>
            <w:r>
              <w:t xml:space="preserve">$425.00</w:t>
            </w:r>
          </w:p>
        </w:tc>
        <w:tc>
          <w:tcPr/>
          <w:p>
            <w:pPr>
              <w:pStyle w:val="Compact"/>
              <w:jc w:val="left"/>
            </w:pPr>
            <w:r>
              <w:t xml:space="preserve">$3,400.00</w:t>
            </w:r>
          </w:p>
        </w:tc>
      </w:tr>
      <w:tr>
        <w:tc>
          <w:tcPr/>
          <w:p>
            <w:pPr>
              <w:pStyle w:val="Compact"/>
              <w:jc w:val="left"/>
            </w:pPr>
            <w:r>
              <w:t xml:space="preserve">008</w:t>
            </w:r>
          </w:p>
        </w:tc>
        <w:tc>
          <w:tcPr/>
          <w:p>
            <w:pPr>
              <w:pStyle w:val="Compact"/>
              <w:jc w:val="left"/>
            </w:pPr>
            <w:r>
              <w:t xml:space="preserve">Site supervision, project management, and final walkthrough by lead Carpenter – includes daily progress reports, material coordination, and client communication</w:t>
            </w:r>
          </w:p>
        </w:tc>
        <w:tc>
          <w:tcPr/>
          <w:p>
            <w:pPr>
              <w:pStyle w:val="Compact"/>
              <w:jc w:val="left"/>
            </w:pPr>
            <w:r>
              <w:t xml:space="preserve">hrs</w:t>
            </w:r>
          </w:p>
        </w:tc>
        <w:tc>
          <w:tcPr/>
          <w:p>
            <w:pPr>
              <w:pStyle w:val="Compact"/>
              <w:jc w:val="left"/>
            </w:pPr>
            <w:r>
              <w:t xml:space="preserve">42</w:t>
            </w:r>
          </w:p>
        </w:tc>
        <w:tc>
          <w:tcPr/>
          <w:p>
            <w:pPr>
              <w:pStyle w:val="Compact"/>
              <w:jc w:val="left"/>
            </w:pPr>
            <w:r>
              <w:t xml:space="preserve">$95.00</w:t>
            </w:r>
          </w:p>
        </w:tc>
        <w:tc>
          <w:tcPr/>
          <w:p>
            <w:pPr>
              <w:pStyle w:val="Compact"/>
              <w:jc w:val="left"/>
            </w:pPr>
            <w:r>
              <w:t xml:space="preserve">$3,990.00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$41,342.50</w:t>
            </w:r>
          </w:p>
        </w:tc>
      </w:tr>
      <w:tr>
        <w:tc>
          <w:tcPr/>
          <w:p>
            <w:pPr>
              <w:pStyle w:val="Compact"/>
              <w:jc w:val="left"/>
            </w:pPr>
            <w:r>
              <w:t xml:space="preserve">Discount (Early Scheduling – 3%)</w:t>
            </w:r>
          </w:p>
        </w:tc>
        <w:tc>
          <w:tcPr/>
          <w:p>
            <w:pPr>
              <w:pStyle w:val="Compact"/>
              <w:jc w:val="right"/>
            </w:pPr>
            <w:r>
              <w:t xml:space="preserve">-$1,240.28</w:t>
            </w:r>
          </w:p>
        </w:tc>
      </w:tr>
      <w:tr>
        <w:tc>
          <w:tcPr/>
          <w:p>
            <w:pPr>
              <w:pStyle w:val="Compact"/>
              <w:jc w:val="left"/>
            </w:pPr>
            <w:r>
              <w:t xml:space="preserve">Adjusted Subtotal</w:t>
            </w:r>
          </w:p>
        </w:tc>
        <w:tc>
          <w:tcPr/>
          <w:p>
            <w:pPr>
              <w:pStyle w:val="Compact"/>
              <w:jc w:val="right"/>
            </w:pPr>
            <w:r>
              <w:t xml:space="preserve">$40,102.22</w:t>
            </w:r>
          </w:p>
        </w:tc>
      </w:tr>
      <w:tr>
        <w:tc>
          <w:tcPr/>
          <w:p>
            <w:pPr>
              <w:pStyle w:val="Compact"/>
              <w:jc w:val="left"/>
            </w:pPr>
            <w:r>
              <w:t xml:space="preserve">Florida State Sales Tax (6.0%)</w:t>
            </w:r>
          </w:p>
        </w:tc>
        <w:tc>
          <w:tcPr/>
          <w:p>
            <w:pPr>
              <w:pStyle w:val="Compact"/>
              <w:jc w:val="right"/>
            </w:pPr>
            <w:r>
              <w:t xml:space="preserve">$2,406.13</w:t>
            </w:r>
          </w:p>
        </w:tc>
      </w:tr>
      <w:tr>
        <w:tc>
          <w:tcPr/>
          <w:p>
            <w:pPr>
              <w:pStyle w:val="Compact"/>
              <w:jc w:val="left"/>
            </w:pPr>
            <w:r>
              <w:t xml:space="preserve">Miami-Dade County Surcharge (0.5%)</w:t>
            </w:r>
          </w:p>
        </w:tc>
        <w:tc>
          <w:tcPr/>
          <w:p>
            <w:pPr>
              <w:pStyle w:val="Compact"/>
              <w:jc w:val="right"/>
            </w:pPr>
            <w:r>
              <w:t xml:space="preserve">$200.51</w:t>
            </w:r>
          </w:p>
        </w:tc>
      </w:tr>
      <w:tr>
        <w:tc>
          <w:tcPr/>
          <w:p>
            <w:pPr>
              <w:pStyle w:val="Compact"/>
              <w:jc w:val="left"/>
            </w:pPr>
            <w:r>
              <w:t xml:space="preserve">Miami City Tax (0.5%)</w:t>
            </w:r>
          </w:p>
        </w:tc>
        <w:tc>
          <w:tcPr/>
          <w:p>
            <w:pPr>
              <w:pStyle w:val="Compact"/>
              <w:jc w:val="right"/>
            </w:pPr>
            <w:r>
              <w:t xml:space="preserve">$200.51</w:t>
            </w:r>
          </w:p>
        </w:tc>
      </w:tr>
      <w:tr>
        <w:tc>
          <w:tcPr/>
          <w:p>
            <w:pPr>
              <w:pStyle w:val="Compact"/>
              <w:jc w:val="left"/>
            </w:pPr>
            <w:r>
              <w:t xml:space="preserve">Grand Total Due</w:t>
            </w:r>
          </w:p>
        </w:tc>
        <w:tc>
          <w:tcPr/>
          <w:p>
            <w:pPr>
              <w:pStyle w:val="Compact"/>
              <w:jc w:val="right"/>
            </w:pPr>
            <w:r>
              <w:t xml:space="preserve">$42,909.37</w:t>
            </w:r>
          </w:p>
        </w:tc>
      </w:tr>
    </w:tbl>
    <w:bookmarkStart w:id="24" w:name="payment-terms-instructions"/>
    <w:p>
      <w:pPr>
        <w:pStyle w:val="Heading3"/>
      </w:pPr>
      <w:r>
        <w:t xml:space="preserve">Payment Terms &amp; Instructions</w:t>
      </w:r>
    </w:p>
    <w:p>
      <w:pPr>
        <w:pStyle w:val="FirstParagraph"/>
      </w:pPr>
      <w:r>
        <w:t xml:space="preserve">This Invoice is payable within thirty (30) days of the Invoice date, no later than July 12, 2025. A late payment fee of 1.5% per month will be applied to any outstanding balance after the due date. Payment may be made via check payable to "Miami Precision Carpenter Co.", ACH bank transfer, or certified funds. For ACH payments, please reference Invoice Number MPC-2025-0472 in your remittance. A 5% deposit was applied at project commencement and is reflected in the final balance. Please contact our billing department at (305) 555-0187 with any questions regarding this Invoice or your payment options.</w:t>
      </w:r>
    </w:p>
    <w:bookmarkEnd w:id="24"/>
    <w:bookmarkStart w:id="25" w:name="notes-terms-of-service"/>
    <w:p>
      <w:pPr>
        <w:pStyle w:val="Heading3"/>
      </w:pPr>
      <w:r>
        <w:t xml:space="preserve">Notes &amp; Terms of Service</w:t>
      </w:r>
    </w:p>
    <w:p>
      <w:pPr>
        <w:pStyle w:val="FirstParagraph"/>
      </w:pPr>
      <w:r>
        <w:t xml:space="preserve">Miami Precision Carpenter Co. is a fully licensed and insured Carpenter operating in the United States Miami metropolitan area. All carpentry work performed under this Invoice complies with the Florida Building Code, Miami-Dade County building regulations, and applicable OSHA safety standards. All materials used are sourced from certified suppliers and meet or exceed industry standards for humidity-resistant construction appropriate for the Miami, Florida climate.</w:t>
      </w:r>
    </w:p>
    <w:p>
      <w:pPr>
        <w:pStyle w:val="BodyText"/>
      </w:pPr>
      <w:r>
        <w:t xml:space="preserve">All custom carpentry work carries a two-year workmanship warranty from the date of final acceptance. This warranty covers defects in craftsmanship but does not cover damage caused by natural disasters, improper maintenance, or unauthorized modifications. The lead Carpenter, Marcus Delgado, personally inspected and approved all completed work prior to project closeout on June 10, 2025.</w:t>
      </w:r>
    </w:p>
    <w:p>
      <w:pPr>
        <w:pStyle w:val="BodyText"/>
      </w:pPr>
      <w:r>
        <w:t xml:space="preserve">This Invoice constitutes the final billing for all carpentry services rendered. No additional charges will be incurred beyond the amounts listed herein unless a written change order is signed by both parties. Miami Precision Carpenter Co. reserves the right to withhold final completion until all outstanding balances on this Invoice are settled in full.</w:t>
      </w:r>
    </w:p>
    <w:p>
      <w:pPr>
        <w:pStyle w:val="BodyText"/>
      </w:pPr>
      <w:r>
        <w:t xml:space="preserve">Thank you for choosing our Carpenter services in the United States Miami area. We take great pride in delivering exceptional craftsmanship and look forward to serving your future carpentry and woodworking needs.</w:t>
      </w:r>
    </w:p>
    <w:bookmarkEnd w:id="25"/>
    <w:p>
      <w:pPr>
        <w:pStyle w:val="BodyText"/>
      </w:pPr>
      <w:r>
        <w:rPr>
          <w:bCs/>
          <w:b/>
        </w:rPr>
        <w:t xml:space="preserve">Miami Precision Carpenter Co.</w:t>
      </w:r>
      <w:r>
        <w:t xml:space="preserve"> </w:t>
      </w:r>
      <w:r>
        <w:t xml:space="preserve">| 1247 Coral Way, Suite 300, Miami, Florida 33145, United States</w:t>
      </w:r>
    </w:p>
    <w:p>
      <w:pPr>
        <w:pStyle w:val="BodyText"/>
      </w:pPr>
      <w:r>
        <w:t xml:space="preserve">Florida Contractor License: CGC-1284756 | EIN: 82-4471903 | Miami-Dade County Business Tax Receipt: 25-0048712</w:t>
      </w:r>
    </w:p>
    <w:p>
      <w:pPr>
        <w:pStyle w:val="BodyText"/>
      </w:pPr>
      <w:r>
        <w:t xml:space="preserve">This Invoice was generated electronically and is valid without a physical signature. For disputes, please contact the billing office within 15 business days of the Invoice date.</w:t>
      </w:r>
    </w:p>
    <w:p>
      <w:pPr>
        <w:pStyle w:val="BodyText"/>
      </w:pPr>
      <w:r>
        <w:t xml:space="preserve">© 2025 Miami Precision Carpenter Co. All rights reserved.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Carpenter Services - Miami, United States</dc:title>
  <dc:creator/>
  <dc:language>en</dc:language>
  <cp:keywords/>
  <dcterms:created xsi:type="dcterms:W3CDTF">2026-10-10T03:49:18Z</dcterms:created>
  <dcterms:modified xsi:type="dcterms:W3CDTF">2026-10-10T03:49:18Z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