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Iran</w:t>
      </w:r>
      <w:r>
        <w:t xml:space="preserve"> </w:t>
      </w:r>
      <w:r>
        <w:t xml:space="preserve">Tehran</w:t>
      </w:r>
    </w:p>
    <w:p>
      <w:pPr>
        <w:pStyle w:val="FirstParagraph"/>
      </w:pPr>
      <w:r>
        <w:t xml:space="preserve">INVOICE</w:t>
      </w:r>
    </w:p>
    <w:p>
      <w:pPr>
        <w:pStyle w:val="BodyText"/>
      </w:pPr>
      <w:r>
        <w:t xml:space="preserve">Professional Chef Services — Iran Tehran</w:t>
      </w:r>
    </w:p>
    <w:p>
      <w:pPr>
        <w:pStyle w:val="BodyText"/>
      </w:pPr>
      <w:r>
        <w:t xml:space="preserve">Iran Tehran • Chef Services Division</w:t>
      </w:r>
    </w:p>
    <w:p>
      <w:pPr>
        <w:pStyle w:val="BodyText"/>
      </w:pPr>
      <w:r>
        <w:rPr>
          <w:bCs/>
          <w:b/>
        </w:rPr>
        <w:t xml:space="preserve">Invoice Number:</w:t>
      </w:r>
      <w:r>
        <w:t xml:space="preserve"> </w:t>
      </w:r>
      <w:r>
        <w:t xml:space="preserve">INV-TEH-2025-04871</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Iran Tehran</w:t>
      </w:r>
    </w:p>
    <w:p>
      <w:pPr>
        <w:pStyle w:val="BodyText"/>
      </w:pPr>
      <w:r>
        <w:rPr>
          <w:bCs/>
          <w:b/>
        </w:rPr>
        <w:t xml:space="preserve">Currency:</w:t>
      </w:r>
      <w:r>
        <w:t xml:space="preserve"> </w:t>
      </w:r>
      <w:r>
        <w:t xml:space="preserve">Iranian Rial (IRR)</w:t>
      </w:r>
    </w:p>
    <w:bookmarkStart w:id="20" w:name="prepared-by-service-provider"/>
    <w:p>
      <w:pPr>
        <w:pStyle w:val="Heading3"/>
      </w:pPr>
      <w:r>
        <w:t xml:space="preserve">Prepared By (Service Provider)</w:t>
      </w:r>
    </w:p>
    <w:p>
      <w:pPr>
        <w:pStyle w:val="FirstParagraph"/>
      </w:pPr>
      <w:r>
        <w:rPr>
          <w:bCs/>
          <w:b/>
        </w:rPr>
        <w:t xml:space="preserve">Chef Reza Karimi</w:t>
      </w:r>
    </w:p>
    <w:p>
      <w:pPr>
        <w:pStyle w:val="BodyText"/>
      </w:pPr>
      <w:r>
        <w:t xml:space="preserve">Executive Chef &amp; Culinary Consultant</w:t>
      </w:r>
    </w:p>
    <w:p>
      <w:pPr>
        <w:pStyle w:val="BodyText"/>
      </w:pPr>
      <w:r>
        <w:t xml:space="preserve">Address: Valiasr Street, District 6, Iran Tehran</w:t>
      </w:r>
    </w:p>
    <w:p>
      <w:pPr>
        <w:pStyle w:val="BodyText"/>
      </w:pPr>
      <w:r>
        <w:t xml:space="preserve">Phone: +98-21-8876-5432</w:t>
      </w:r>
    </w:p>
    <w:p>
      <w:pPr>
        <w:pStyle w:val="BodyText"/>
      </w:pPr>
      <w:r>
        <w:t xml:space="preserve">Email: chef.reza.karimi@tehran-culinary.ir</w:t>
      </w:r>
    </w:p>
    <w:p>
      <w:pPr>
        <w:pStyle w:val="BodyText"/>
      </w:pPr>
      <w:r>
        <w:t xml:space="preserve">Tax Registration: 102-458-7721 (Iran Tehran)</w:t>
      </w:r>
    </w:p>
    <w:bookmarkEnd w:id="20"/>
    <w:bookmarkStart w:id="21" w:name="billed-to-client"/>
    <w:p>
      <w:pPr>
        <w:pStyle w:val="Heading3"/>
      </w:pPr>
      <w:r>
        <w:t xml:space="preserve">Billed To (Client)</w:t>
      </w:r>
    </w:p>
    <w:p>
      <w:pPr>
        <w:pStyle w:val="FirstParagraph"/>
      </w:pPr>
      <w:r>
        <w:rPr>
          <w:bCs/>
          <w:b/>
        </w:rPr>
        <w:t xml:space="preserve">Persian Grand Hotel &amp; Resort</w:t>
      </w:r>
    </w:p>
    <w:p>
      <w:pPr>
        <w:pStyle w:val="BodyText"/>
      </w:pPr>
      <w:r>
        <w:t xml:space="preserve">Attn: Ms. Fatemeh Ahmadi, Procurement Manager</w:t>
      </w:r>
    </w:p>
    <w:p>
      <w:pPr>
        <w:pStyle w:val="BodyText"/>
      </w:pPr>
      <w:r>
        <w:t xml:space="preserve">Address: Ferdowsi Avenue, District 1, Iran Tehran</w:t>
      </w:r>
    </w:p>
    <w:p>
      <w:pPr>
        <w:pStyle w:val="BodyText"/>
      </w:pPr>
      <w:r>
        <w:t xml:space="preserve">Phone: +98-21-4455-6677</w:t>
      </w:r>
    </w:p>
    <w:p>
      <w:pPr>
        <w:pStyle w:val="BodyText"/>
      </w:pPr>
      <w:r>
        <w:t xml:space="preserve">Email: procurement@persiangrand.ir</w:t>
      </w:r>
    </w:p>
    <w:p>
      <w:pPr>
        <w:pStyle w:val="BodyText"/>
      </w:pPr>
      <w:r>
        <w:t xml:space="preserve">Client Reference: PGH-2025-CHEF-0092</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Chef Services</w:t>
            </w:r>
          </w:p>
        </w:tc>
        <w:tc>
          <w:tcPr/>
          <w:p>
            <w:pPr>
              <w:pStyle w:val="Compact"/>
              <w:jc w:val="left"/>
            </w:pPr>
            <w:r>
              <w:t xml:space="preserve">Service Period</w:t>
            </w:r>
          </w:p>
        </w:tc>
        <w:tc>
          <w:tcPr/>
          <w:p>
            <w:pPr>
              <w:pStyle w:val="Compact"/>
              <w:jc w:val="left"/>
            </w:pPr>
            <w:r>
              <w:t xml:space="preserve">Quantity</w:t>
            </w:r>
          </w:p>
        </w:tc>
        <w:tc>
          <w:tcPr/>
          <w:p>
            <w:pPr>
              <w:pStyle w:val="Compact"/>
              <w:jc w:val="left"/>
            </w:pPr>
            <w:r>
              <w:t xml:space="preserve">Unit Rate (IRR)</w:t>
            </w:r>
          </w:p>
        </w:tc>
        <w:tc>
          <w:tcPr/>
          <w:p>
            <w:pPr>
              <w:pStyle w:val="Compact"/>
              <w:jc w:val="left"/>
            </w:pPr>
            <w:r>
              <w:t xml:space="preserve">Amount (IRR)</w:t>
            </w:r>
          </w:p>
        </w:tc>
      </w:tr>
      <w:tr>
        <w:tc>
          <w:tcPr/>
          <w:p>
            <w:pPr>
              <w:pStyle w:val="Compact"/>
              <w:jc w:val="left"/>
            </w:pPr>
            <w:r>
              <w:t xml:space="preserve">1</w:t>
            </w:r>
          </w:p>
        </w:tc>
        <w:tc>
          <w:tcPr/>
          <w:p>
            <w:pPr>
              <w:pStyle w:val="Compact"/>
              <w:jc w:val="left"/>
            </w:pPr>
            <w:r>
              <w:t xml:space="preserve">Executive Chef — Full-time kitchen management and menu development for the main dining hall in Iran Tehran</w:t>
            </w:r>
          </w:p>
        </w:tc>
        <w:tc>
          <w:tcPr/>
          <w:p>
            <w:pPr>
              <w:pStyle w:val="Compact"/>
              <w:jc w:val="left"/>
            </w:pPr>
            <w:r>
              <w:t xml:space="preserve">Jun 1 – Jun 30, 2025</w:t>
            </w:r>
          </w:p>
        </w:tc>
        <w:tc>
          <w:tcPr/>
          <w:p>
            <w:pPr>
              <w:pStyle w:val="Compact"/>
              <w:jc w:val="left"/>
            </w:pPr>
            <w:r>
              <w:t xml:space="preserve">1 month</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Chef — Specialized Persian and international cuisine preparation for VIP banquets (12 events)</w:t>
            </w:r>
          </w:p>
        </w:tc>
        <w:tc>
          <w:tcPr/>
          <w:p>
            <w:pPr>
              <w:pStyle w:val="Compact"/>
              <w:jc w:val="left"/>
            </w:pPr>
            <w:r>
              <w:t xml:space="preserve">Jun 5 – Jun 28, 2025</w:t>
            </w:r>
          </w:p>
        </w:tc>
        <w:tc>
          <w:tcPr/>
          <w:p>
            <w:pPr>
              <w:pStyle w:val="Compact"/>
              <w:jc w:val="left"/>
            </w:pPr>
            <w:r>
              <w:t xml:space="preserve">12 events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3</w:t>
            </w:r>
          </w:p>
        </w:tc>
        <w:tc>
          <w:tcPr/>
          <w:p>
            <w:pPr>
              <w:pStyle w:val="Compact"/>
              <w:jc w:val="left"/>
            </w:pPr>
            <w:r>
              <w:t xml:space="preserve">Chef — Staff training and culinary technique workshops for 15 kitchen personnel in Iran Tehran</w:t>
            </w:r>
          </w:p>
        </w:tc>
        <w:tc>
          <w:tcPr/>
          <w:p>
            <w:pPr>
              <w:pStyle w:val="Compact"/>
              <w:jc w:val="left"/>
            </w:pPr>
            <w:r>
              <w:t xml:space="preserve">Jun 10 – Jun 14, 2025</w:t>
            </w:r>
          </w:p>
        </w:tc>
        <w:tc>
          <w:tcPr/>
          <w:p>
            <w:pPr>
              <w:pStyle w:val="Compact"/>
              <w:jc w:val="left"/>
            </w:pPr>
            <w:r>
              <w:t xml:space="preserve">5 days</w:t>
            </w:r>
          </w:p>
        </w:tc>
        <w:tc>
          <w:tcPr/>
          <w:p>
            <w:pPr>
              <w:pStyle w:val="Compact"/>
              <w:jc w:val="left"/>
            </w:pPr>
            <w:r>
              <w:t xml:space="preserve">6,000,000</w:t>
            </w:r>
          </w:p>
        </w:tc>
        <w:tc>
          <w:tcPr/>
          <w:p>
            <w:pPr>
              <w:pStyle w:val="Compact"/>
              <w:jc w:val="left"/>
            </w:pPr>
            <w:r>
              <w:t xml:space="preserve">30,000,000</w:t>
            </w:r>
          </w:p>
        </w:tc>
      </w:tr>
      <w:tr>
        <w:tc>
          <w:tcPr/>
          <w:p>
            <w:pPr>
              <w:pStyle w:val="Compact"/>
              <w:jc w:val="left"/>
            </w:pPr>
            <w:r>
              <w:t xml:space="preserve">4</w:t>
            </w:r>
          </w:p>
        </w:tc>
        <w:tc>
          <w:tcPr/>
          <w:p>
            <w:pPr>
              <w:pStyle w:val="Compact"/>
              <w:jc w:val="left"/>
            </w:pPr>
            <w:r>
              <w:t xml:space="preserve">Chef — Menu redesign and seasonal ingredient sourcing consultation for the autumn season</w:t>
            </w:r>
          </w:p>
        </w:tc>
        <w:tc>
          <w:tcPr/>
          <w:p>
            <w:pPr>
              <w:pStyle w:val="Compact"/>
              <w:jc w:val="left"/>
            </w:pPr>
            <w:r>
              <w:t xml:space="preserve">Jun 18 – Jun 22, 2025</w:t>
            </w:r>
          </w:p>
        </w:tc>
        <w:tc>
          <w:tcPr/>
          <w:p>
            <w:pPr>
              <w:pStyle w:val="Compact"/>
              <w:jc w:val="left"/>
            </w:pPr>
            <w:r>
              <w:t xml:space="preserve">1 package</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5</w:t>
            </w:r>
          </w:p>
        </w:tc>
        <w:tc>
          <w:tcPr/>
          <w:p>
            <w:pPr>
              <w:pStyle w:val="Compact"/>
              <w:jc w:val="left"/>
            </w:pPr>
            <w:r>
              <w:t xml:space="preserve">Chef — Food safety audit and HACCP compliance review for all kitchen operations in Iran Tehran</w:t>
            </w:r>
          </w:p>
        </w:tc>
        <w:tc>
          <w:tcPr/>
          <w:p>
            <w:pPr>
              <w:pStyle w:val="Compact"/>
              <w:jc w:val="left"/>
            </w:pPr>
            <w:r>
              <w:t xml:space="preserve">Jun 25, 2025</w:t>
            </w:r>
          </w:p>
        </w:tc>
        <w:tc>
          <w:tcPr/>
          <w:p>
            <w:pPr>
              <w:pStyle w:val="Compact"/>
              <w:jc w:val="left"/>
            </w:pPr>
            <w:r>
              <w:t xml:space="preserve">1 day</w:t>
            </w:r>
          </w:p>
        </w:tc>
        <w:tc>
          <w:tcPr/>
          <w:p>
            <w:pPr>
              <w:pStyle w:val="Compact"/>
              <w:jc w:val="left"/>
            </w:pPr>
            <w:r>
              <w:t xml:space="preserve">5,500,000</w:t>
            </w:r>
          </w:p>
        </w:tc>
        <w:tc>
          <w:tcPr/>
          <w:p>
            <w:pPr>
              <w:pStyle w:val="Compact"/>
              <w:jc w:val="left"/>
            </w:pPr>
            <w:r>
              <w:t xml:space="preserve">5,500,000</w:t>
            </w:r>
          </w:p>
        </w:tc>
      </w:tr>
      <w:tr>
        <w:tc>
          <w:tcPr/>
          <w:p>
            <w:pPr>
              <w:pStyle w:val="Compact"/>
              <w:jc w:val="left"/>
            </w:pPr>
            <w:r>
              <w:t xml:space="preserve">6</w:t>
            </w:r>
          </w:p>
        </w:tc>
        <w:tc>
          <w:tcPr/>
          <w:p>
            <w:pPr>
              <w:pStyle w:val="Compact"/>
              <w:jc w:val="left"/>
            </w:pPr>
            <w:r>
              <w:t xml:space="preserve">Chef — Travel and accommodation allowance for on-site presence at the Iran Tehran location</w:t>
            </w:r>
          </w:p>
        </w:tc>
        <w:tc>
          <w:tcPr/>
          <w:p>
            <w:pPr>
              <w:pStyle w:val="Compact"/>
              <w:jc w:val="left"/>
            </w:pPr>
            <w:r>
              <w:t xml:space="preserve">Jun 1 – Jun 30, 2025</w:t>
            </w:r>
          </w:p>
        </w:tc>
        <w:tc>
          <w:tcPr/>
          <w:p>
            <w:pPr>
              <w:pStyle w:val="Compact"/>
              <w:jc w:val="left"/>
            </w:pPr>
            <w:r>
              <w:t xml:space="preserve">30 days</w:t>
            </w:r>
          </w:p>
        </w:tc>
        <w:tc>
          <w:tcPr/>
          <w:p>
            <w:pPr>
              <w:pStyle w:val="Compact"/>
              <w:jc w:val="left"/>
            </w:pPr>
            <w:r>
              <w:t xml:space="preserve">1,200,000</w:t>
            </w:r>
          </w:p>
        </w:tc>
        <w:tc>
          <w:tcPr/>
          <w:p>
            <w:pPr>
              <w:pStyle w:val="Compact"/>
              <w:jc w:val="left"/>
            </w:pPr>
            <w:r>
              <w:t xml:space="preserve">36,000,000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230,500,000 IRR</w:t>
            </w:r>
          </w:p>
        </w:tc>
      </w:tr>
      <w:tr>
        <w:tc>
          <w:tcPr/>
          <w:p>
            <w:pPr>
              <w:pStyle w:val="Compact"/>
              <w:jc w:val="left"/>
            </w:pPr>
            <w:r>
              <w:t xml:space="preserve">VAT (9% — Iran Tehran Municipal Tax)</w:t>
            </w:r>
          </w:p>
        </w:tc>
        <w:tc>
          <w:tcPr/>
          <w:p>
            <w:pPr>
              <w:pStyle w:val="Compact"/>
              <w:jc w:val="right"/>
            </w:pPr>
            <w:r>
              <w:t xml:space="preserve">20,745,000 IRR</w:t>
            </w:r>
          </w:p>
        </w:tc>
      </w:tr>
      <w:tr>
        <w:tc>
          <w:tcPr/>
          <w:p>
            <w:pPr>
              <w:pStyle w:val="Compact"/>
              <w:jc w:val="left"/>
            </w:pPr>
            <w:r>
              <w:t xml:space="preserve">Service Surcharge (5%)</w:t>
            </w:r>
          </w:p>
        </w:tc>
        <w:tc>
          <w:tcPr/>
          <w:p>
            <w:pPr>
              <w:pStyle w:val="Compact"/>
              <w:jc w:val="right"/>
            </w:pPr>
            <w:r>
              <w:t xml:space="preserve">11,525,000 IRR</w:t>
            </w:r>
          </w:p>
        </w:tc>
      </w:tr>
      <w:tr>
        <w:tc>
          <w:tcPr/>
          <w:p>
            <w:pPr>
              <w:pStyle w:val="Compact"/>
              <w:jc w:val="left"/>
            </w:pPr>
            <w:r>
              <w:t xml:space="preserve">Grand Total</w:t>
            </w:r>
          </w:p>
        </w:tc>
        <w:tc>
          <w:tcPr/>
          <w:p>
            <w:pPr>
              <w:pStyle w:val="Compact"/>
              <w:jc w:val="right"/>
            </w:pPr>
            <w:r>
              <w:t xml:space="preserve">262,770,000 IRR</w:t>
            </w:r>
          </w:p>
        </w:tc>
      </w:tr>
    </w:tbl>
    <w:bookmarkStart w:id="22" w:name="payment-terms-conditions"/>
    <w:p>
      <w:pPr>
        <w:pStyle w:val="Heading3"/>
      </w:pPr>
      <w:r>
        <w:t xml:space="preserve">Payment Terms &amp; Conditions</w:t>
      </w:r>
    </w:p>
    <w:p>
      <w:pPr>
        <w:pStyle w:val="FirstParagraph"/>
      </w:pPr>
      <w:r>
        <w:t xml:space="preserve">This Invoice must be settled in full within thirty (30) calendar days from the Invoice date of June 15, 2025. Payment is to be made via bank transfer to the account of Chef Reza Karimi, Bank Melli, Branch Iran Tehran, Account No. 0123-4567-8901-2345, SWIFT: MELLIRIT.</w:t>
      </w:r>
    </w:p>
    <w:p>
      <w:pPr>
        <w:pStyle w:val="BodyText"/>
      </w:pPr>
      <w:r>
        <w:t xml:space="preserve">A late payment penalty of 2% per month will be applied to any outstanding balance beyond the due date of July 15, 2025. This Invoice is valid for 60 days from the date of issue. All services rendered under this Invoice were performed in compliance with the culinary and food safety regulations of Iran Tehran and the Islamic Republic of Iran.</w:t>
      </w:r>
    </w:p>
    <w:p>
      <w:pPr>
        <w:pStyle w:val="BodyText"/>
      </w:pPr>
      <w:r>
        <w:t xml:space="preserve">Any disputes regarding this Invoice or the Chef services described herein shall be resolved through the commercial arbitration court in Iran Tehran within 90 days of the Invoice date.</w:t>
      </w:r>
    </w:p>
    <w:bookmarkEnd w:id="22"/>
    <w:bookmarkStart w:id="23" w:name="additional-notes-regarding-this-invoice"/>
    <w:p>
      <w:pPr>
        <w:pStyle w:val="Heading3"/>
      </w:pPr>
      <w:r>
        <w:t xml:space="preserve">Additional Notes Regarding This Invoice</w:t>
      </w:r>
    </w:p>
    <w:p>
      <w:pPr>
        <w:pStyle w:val="FirstParagraph"/>
      </w:pPr>
      <w:r>
        <w:t xml:space="preserve">1. This Invoice covers all Chef services rendered during the month of June 2025 at the Persian Grand Hotel &amp; Resort, located in the heart of Iran Tehran. No additional charges will be incurred beyond the amounts listed above unless a written amendment to this Invoice is executed by both parties.</w:t>
      </w:r>
    </w:p>
    <w:p>
      <w:pPr>
        <w:pStyle w:val="BodyText"/>
      </w:pPr>
      <w:r>
        <w:t xml:space="preserve">2. The Chef services include all standard culinary equipment usage, recipe development, and on-site supervision. Specialized imported ingredients requested by the client are billed separately and are not included in this Invoice.</w:t>
      </w:r>
    </w:p>
    <w:p>
      <w:pPr>
        <w:pStyle w:val="BodyText"/>
      </w:pPr>
      <w:r>
        <w:t xml:space="preserve">3. Chef Reza Karimi holds a valid professional culinary license issued by the Iran Tehran Culinary Board (License No. ITCB-2019-00342) and maintains full professional liability insurance valid throughout the service period in Iran Tehran.</w:t>
      </w:r>
    </w:p>
    <w:p>
      <w:pPr>
        <w:pStyle w:val="BodyText"/>
      </w:pPr>
      <w:r>
        <w:t xml:space="preserve">4. A copy of this Invoice has been filed with the Iran Tehran Municipal Tax Authority in accordance with local commercial regulations. The client is advised to retain this document for their own tax and accounting records.</w:t>
      </w:r>
    </w:p>
    <w:p>
      <w:pPr>
        <w:pStyle w:val="BodyText"/>
      </w:pPr>
      <w:r>
        <w:t xml:space="preserve">5. For any questions, corrections, or clarifications regarding this Invoice, please contact the Chef services office at the address listed above or via email. All correspondence should reference Invoice Number INV-TEH-2025-04871.</w:t>
      </w:r>
    </w:p>
    <w:bookmarkEnd w:id="23"/>
    <w:p>
      <w:pPr>
        <w:pStyle w:val="BodyText"/>
      </w:pPr>
      <w:r>
        <w:rPr>
          <w:bCs/>
          <w:b/>
        </w:rPr>
        <w:t xml:space="preserve">Chef Reza Karimi — Culinary Services, Iran Tehran</w:t>
      </w:r>
    </w:p>
    <w:p>
      <w:pPr>
        <w:pStyle w:val="BodyText"/>
      </w:pPr>
      <w:r>
        <w:t xml:space="preserve">Valiasr Street, District 6, Iran Tehran | +98-21-8876-5432 | chef.reza.karimi@tehran-culinary.ir</w:t>
      </w:r>
    </w:p>
    <w:p>
      <w:pPr>
        <w:pStyle w:val="BodyText"/>
      </w:pPr>
      <w:r>
        <w:t xml:space="preserve">This Invoice was generated electronically and is valid without a physical signature. © 2025 Chef Reza Karimi, Iran Tehran. All rights reserved.</w:t>
      </w:r>
    </w:p>
    <w:p>
      <w:pPr>
        <w:pStyle w:val="BodyText"/>
      </w:pPr>
      <w:r>
        <w:t xml:space="preserve">Thank you for choosing our Chef services in Iran Tehran.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Iran Tehran</dc:title>
  <dc:creator/>
  <dc:language>en</dc:language>
  <cp:keywords/>
  <dcterms:created xsi:type="dcterms:W3CDTF">2026-10-10T06:12:41Z</dcterms:created>
  <dcterms:modified xsi:type="dcterms:W3CDTF">2026-10-10T06:12:41Z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