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ulinary-excellence-sdn.-bhd."/>
    <w:p>
      <w:pPr>
        <w:pStyle w:val="Heading1"/>
      </w:pPr>
      <w:r>
        <w:t xml:space="preserve">Culinary Excellence Sdn. Bhd.</w:t>
      </w:r>
    </w:p>
    <w:p>
      <w:pPr>
        <w:pStyle w:val="FirstParagraph"/>
      </w:pPr>
      <w:r>
        <w:t xml:space="preserve">Professional Chef &amp; Catering Services</w:t>
      </w:r>
    </w:p>
    <w:p>
      <w:pPr>
        <w:pStyle w:val="BodyText"/>
      </w:pPr>
      <w:r>
        <w:t xml:space="preserve">No. 12, Jalan Ampang, 50450 Malaysia Kuala Lumpur</w:t>
      </w:r>
    </w:p>
    <w:p>
      <w:pPr>
        <w:pStyle w:val="BodyText"/>
      </w:pPr>
      <w:r>
        <w:t xml:space="preserve">Tel: +603-2145-6789 | Email: billing@culinaryexcellence.my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INV-2025-KL-00847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PAID</w:t>
      </w:r>
    </w:p>
    <w:bookmarkEnd w:id="21"/>
    <w:bookmarkStart w:id="22" w:name="invoice-issued-by"/>
    <w:p>
      <w:pPr>
        <w:pStyle w:val="Heading3"/>
      </w:pPr>
      <w:r>
        <w:t xml:space="preserve">Invoice Issued By</w:t>
      </w:r>
    </w:p>
    <w:p>
      <w:pPr>
        <w:pStyle w:val="FirstParagraph"/>
      </w:pPr>
      <w:r>
        <w:rPr>
          <w:bCs/>
          <w:b/>
        </w:rPr>
        <w:t xml:space="preserve">Culinary Excellence Sdn. Bhd.</w:t>
      </w:r>
    </w:p>
    <w:p>
      <w:pPr>
        <w:pStyle w:val="BodyText"/>
      </w:pPr>
      <w:r>
        <w:t xml:space="preserve">No. 12, Jalan Ampang</w:t>
      </w:r>
    </w:p>
    <w:p>
      <w:pPr>
        <w:pStyle w:val="BodyText"/>
      </w:pPr>
      <w:r>
        <w:t xml:space="preserve">50450 Malaysia Kuala Lumpur</w:t>
      </w:r>
    </w:p>
    <w:p>
      <w:pPr>
        <w:pStyle w:val="BodyText"/>
      </w:pPr>
      <w:r>
        <w:t xml:space="preserve">W.P. Code: 0101 (Food &amp; Beverage)</w:t>
      </w:r>
    </w:p>
    <w:p>
      <w:pPr>
        <w:pStyle w:val="BodyText"/>
      </w:pPr>
      <w:r>
        <w:t xml:space="preserve">Bank: Maybank Berhad</w:t>
      </w:r>
    </w:p>
    <w:p>
      <w:pPr>
        <w:pStyle w:val="BodyText"/>
      </w:pPr>
      <w:r>
        <w:t xml:space="preserve">Account: 5123-4567-8901</w:t>
      </w:r>
    </w:p>
    <w:p>
      <w:pPr>
        <w:pStyle w:val="BodyText"/>
      </w:pPr>
      <w:r>
        <w:t xml:space="preserve">SWIFT: BMMBMYKL</w:t>
      </w:r>
    </w:p>
    <w:bookmarkEnd w:id="22"/>
    <w:bookmarkStart w:id="23" w:name="invoice-billed-to"/>
    <w:p>
      <w:pPr>
        <w:pStyle w:val="Heading3"/>
      </w:pPr>
      <w:r>
        <w:t xml:space="preserve">Invoice Billed To</w:t>
      </w:r>
    </w:p>
    <w:p>
      <w:pPr>
        <w:pStyle w:val="FirstParagraph"/>
      </w:pPr>
      <w:r>
        <w:rPr>
          <w:bCs/>
          <w:b/>
        </w:rPr>
        <w:t xml:space="preserve">Grand Meridian Hotel Sdn. Bhd.</w:t>
      </w:r>
    </w:p>
    <w:p>
      <w:pPr>
        <w:pStyle w:val="BodyText"/>
      </w:pPr>
      <w:r>
        <w:t xml:space="preserve">Level 45, Menara Meridian</w:t>
      </w:r>
    </w:p>
    <w:p>
      <w:pPr>
        <w:pStyle w:val="BodyText"/>
      </w:pPr>
      <w:r>
        <w:t xml:space="preserve">181, Jalan Tun Razak</w:t>
      </w:r>
    </w:p>
    <w:p>
      <w:pPr>
        <w:pStyle w:val="BodyText"/>
      </w:pPr>
      <w:r>
        <w:t xml:space="preserve">50400 Malaysia Kuala Lumpur</w:t>
      </w:r>
    </w:p>
    <w:p>
      <w:pPr>
        <w:pStyle w:val="BodyText"/>
      </w:pPr>
      <w:r>
        <w:t xml:space="preserve">Attn: Mr. Tan Wei Ming, F&amp;B Director</w:t>
      </w:r>
    </w:p>
    <w:p>
      <w:pPr>
        <w:pStyle w:val="BodyText"/>
      </w:pPr>
      <w:r>
        <w:t xml:space="preserve">Company Reg. No: 199801234567 (K)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Chef Services</w:t>
            </w:r>
          </w:p>
        </w:tc>
        <w:tc>
          <w:tcPr/>
          <w:p>
            <w:pPr>
              <w:pStyle w:val="Compact"/>
              <w:jc w:val="left"/>
            </w:pPr>
            <w:r>
              <w:t xml:space="preserve">Rate (MYR)</w:t>
            </w:r>
          </w:p>
        </w:tc>
        <w:tc>
          <w:tcPr/>
          <w:p>
            <w:pPr>
              <w:pStyle w:val="Compact"/>
              <w:jc w:val="left"/>
            </w:pPr>
            <w:r>
              <w:t xml:space="preserve">Qty</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01</w:t>
            </w:r>
          </w:p>
        </w:tc>
        <w:tc>
          <w:tcPr/>
          <w:p>
            <w:pPr>
              <w:pStyle w:val="Compact"/>
              <w:jc w:val="left"/>
            </w:pPr>
            <w:r>
              <w:t xml:space="preserve">Executive Chef – Monthly Retainer for Fine Dining Restaurant (Chef responsible for menu development, kitchen supervision, and quality control at the Malaysia Kuala Lumpur flagship outlet)</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Pastry Chef – Specialised Dessert &amp; Confectionery Services (Chef prepared 200+ artisan pastries, wedding cakes, and seasonal dessert presentations for the Malaysia Kuala Lumpur hospitality event)</w:t>
            </w:r>
          </w:p>
        </w:tc>
        <w:tc>
          <w:tcPr/>
          <w:p>
            <w:pPr>
              <w:pStyle w:val="Compact"/>
              <w:jc w:val="left"/>
            </w:pPr>
            <w:r>
              <w:t xml:space="preserve">9,200.00</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552.00</w:t>
            </w:r>
          </w:p>
        </w:tc>
      </w:tr>
      <w:tr>
        <w:tc>
          <w:tcPr/>
          <w:p>
            <w:pPr>
              <w:pStyle w:val="Compact"/>
              <w:jc w:val="left"/>
            </w:pPr>
            <w:r>
              <w:t xml:space="preserve">03</w:t>
            </w:r>
          </w:p>
        </w:tc>
        <w:tc>
          <w:tcPr/>
          <w:p>
            <w:pPr>
              <w:pStyle w:val="Compact"/>
              <w:jc w:val="left"/>
            </w:pPr>
            <w:r>
              <w:t xml:space="preserve">Chef de Cuisine – Private Corporate Catering (Chef led a team of 8 for a 150-guest corporate gala dinner held at the Malaysia Kuala Lumpur convention centre on 14 June 2025)</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408.00</w:t>
            </w:r>
          </w:p>
        </w:tc>
      </w:tr>
      <w:tr>
        <w:tc>
          <w:tcPr/>
          <w:p>
            <w:pPr>
              <w:pStyle w:val="Compact"/>
              <w:jc w:val="left"/>
            </w:pPr>
            <w:r>
              <w:t xml:space="preserve">04</w:t>
            </w:r>
          </w:p>
        </w:tc>
        <w:tc>
          <w:tcPr/>
          <w:p>
            <w:pPr>
              <w:pStyle w:val="Compact"/>
              <w:jc w:val="left"/>
            </w:pPr>
            <w:r>
              <w:t xml:space="preserve">Chef Consultation – Menu Engineering &amp; Cost Analysis (Chef conducted a 3-day on-site consultation in Malaysia Kuala Lumpur to redesign the seasonal menu, optimise food cost ratios, and train junior kitchen staff)</w:t>
            </w:r>
          </w:p>
        </w:tc>
        <w:tc>
          <w:tcPr/>
          <w:p>
            <w:pPr>
              <w:pStyle w:val="Compact"/>
              <w:jc w:val="left"/>
            </w:pPr>
            <w:r>
              <w:t xml:space="preserve">4,500.00</w:t>
            </w:r>
          </w:p>
        </w:tc>
        <w:tc>
          <w:tcPr/>
          <w:p>
            <w:pPr>
              <w:pStyle w:val="Compact"/>
              <w:jc w:val="left"/>
            </w:pPr>
            <w:r>
              <w:t xml:space="preserve">3</w:t>
            </w:r>
          </w:p>
        </w:tc>
        <w:tc>
          <w:tcPr/>
          <w:p>
            <w:pPr>
              <w:pStyle w:val="Compact"/>
              <w:jc w:val="left"/>
            </w:pPr>
            <w:r>
              <w:t xml:space="preserve">13,500.00</w:t>
            </w:r>
          </w:p>
        </w:tc>
        <w:tc>
          <w:tcPr/>
          <w:p>
            <w:pPr>
              <w:pStyle w:val="Compact"/>
              <w:jc w:val="left"/>
            </w:pPr>
            <w:r>
              <w:t xml:space="preserve">810.00</w:t>
            </w:r>
          </w:p>
        </w:tc>
      </w:tr>
      <w:tr>
        <w:tc>
          <w:tcPr/>
          <w:p>
            <w:pPr>
              <w:pStyle w:val="Compact"/>
              <w:jc w:val="left"/>
            </w:pPr>
            <w:r>
              <w:t xml:space="preserve">05</w:t>
            </w:r>
          </w:p>
        </w:tc>
        <w:tc>
          <w:tcPr/>
          <w:p>
            <w:pPr>
              <w:pStyle w:val="Compact"/>
              <w:jc w:val="left"/>
            </w:pPr>
            <w:r>
              <w:t xml:space="preserve">Chef – Live Cooking Demonstration &amp; Guest Chef Experience (Chef performed a 2-hour live Malaysian and international fusion cooking demonstration for 80 VIP guests at the Malaysia Kuala Lumpur hotel lobby)</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330.00</w:t>
            </w:r>
          </w:p>
        </w:tc>
      </w:tr>
      <w:tr>
        <w:tc>
          <w:tcPr/>
          <w:p>
            <w:pPr>
              <w:pStyle w:val="Compact"/>
              <w:jc w:val="left"/>
            </w:pPr>
            <w:r>
              <w:t xml:space="preserve">06</w:t>
            </w:r>
          </w:p>
        </w:tc>
        <w:tc>
          <w:tcPr/>
          <w:p>
            <w:pPr>
              <w:pStyle w:val="Compact"/>
              <w:jc w:val="left"/>
            </w:pPr>
            <w:r>
              <w:t xml:space="preserve">Chef – Food Safety &amp; HACCP Compliance Audit (Chef conducted a comprehensive kitchen hygiene and food safety audit across 3 Malaysia Kuala Lumpur restaurant outlets, including staff retraining sessions)</w:t>
            </w:r>
          </w:p>
        </w:tc>
        <w:tc>
          <w:tcPr/>
          <w:p>
            <w:pPr>
              <w:pStyle w:val="Compact"/>
              <w:jc w:val="left"/>
            </w:pPr>
            <w:r>
              <w:t xml:space="preserve">3,200.00</w:t>
            </w:r>
          </w:p>
        </w:tc>
        <w:tc>
          <w:tcPr/>
          <w:p>
            <w:pPr>
              <w:pStyle w:val="Compact"/>
              <w:jc w:val="left"/>
            </w:pPr>
            <w:r>
              <w:t xml:space="preserve">3</w:t>
            </w:r>
          </w:p>
        </w:tc>
        <w:tc>
          <w:tcPr/>
          <w:p>
            <w:pPr>
              <w:pStyle w:val="Compact"/>
              <w:jc w:val="left"/>
            </w:pPr>
            <w:r>
              <w:t xml:space="preserve">9,600.00</w:t>
            </w:r>
          </w:p>
        </w:tc>
        <w:tc>
          <w:tcPr/>
          <w:p>
            <w:pPr>
              <w:pStyle w:val="Compact"/>
              <w:jc w:val="left"/>
            </w:pPr>
            <w:r>
              <w:t xml:space="preserve">576.00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left"/>
            </w:pPr>
            <w:r>
              <w:t xml:space="preserve">63,100.00</w:t>
            </w:r>
          </w:p>
        </w:tc>
      </w:tr>
      <w:tr>
        <w:tc>
          <w:tcPr/>
          <w:p>
            <w:pPr>
              <w:pStyle w:val="Compact"/>
              <w:jc w:val="left"/>
            </w:pPr>
            <w:r>
              <w:t xml:space="preserve">Service Tax (SST) @ 6%</w:t>
            </w:r>
          </w:p>
        </w:tc>
        <w:tc>
          <w:tcPr/>
          <w:p>
            <w:pPr>
              <w:pStyle w:val="Compact"/>
              <w:jc w:val="left"/>
            </w:pPr>
            <w:r>
              <w:t xml:space="preserve">3,786.00</w:t>
            </w:r>
          </w:p>
        </w:tc>
      </w:tr>
      <w:tr>
        <w:tc>
          <w:tcPr/>
          <w:p>
            <w:pPr>
              <w:pStyle w:val="Compact"/>
              <w:jc w:val="left"/>
            </w:pPr>
            <w:r>
              <w:t xml:space="preserve">Discount (Loyalty – 5%)</w:t>
            </w:r>
          </w:p>
        </w:tc>
        <w:tc>
          <w:tcPr/>
          <w:p>
            <w:pPr>
              <w:pStyle w:val="Compact"/>
              <w:jc w:val="left"/>
            </w:pPr>
            <w:r>
              <w:t xml:space="preserve">(3,155.00)</w:t>
            </w:r>
          </w:p>
        </w:tc>
      </w:tr>
      <w:tr>
        <w:tc>
          <w:tcPr/>
          <w:p>
            <w:pPr>
              <w:pStyle w:val="Compact"/>
              <w:jc w:val="left"/>
            </w:pPr>
            <w:r>
              <w:t xml:space="preserve">Grand Total Due (MYR)</w:t>
            </w:r>
          </w:p>
        </w:tc>
        <w:tc>
          <w:tcPr/>
          <w:p>
            <w:pPr>
              <w:pStyle w:val="Compact"/>
              <w:jc w:val="left"/>
            </w:pPr>
            <w:r>
              <w:t xml:space="preserve">63,731.00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Invoice date of 15 June 2025. Payment is due no later than 30 June 2025. Please remit the total amount of</w:t>
      </w:r>
      <w:r>
        <w:t xml:space="preserve"> </w:t>
      </w:r>
      <w:r>
        <w:rPr>
          <w:bCs/>
          <w:b/>
        </w:rPr>
        <w:t xml:space="preserve">MYR 63,731.00</w:t>
      </w:r>
      <w:r>
        <w:t xml:space="preserve"> </w:t>
      </w:r>
      <w:r>
        <w:t xml:space="preserve">via bank transfer to the account details listed above. Kindly reference the Invoice number</w:t>
      </w:r>
      <w:r>
        <w:t xml:space="preserve"> </w:t>
      </w:r>
      <w:r>
        <w:rPr>
          <w:bCs/>
          <w:b/>
        </w:rPr>
        <w:t xml:space="preserve">INV-2025-KL-00847</w:t>
      </w:r>
      <w:r>
        <w:t xml:space="preserve"> </w:t>
      </w:r>
      <w:r>
        <w:t xml:space="preserve">in your payment remittance. A late payment surcharge of 2% per month will be applied to any outstanding balance after the due date. All amounts are stated in Malaysian Ringgit (MYR). This Invoice has been issued in compliance with the Service Tax Act 2018 of Malaysia and the Inland Revenue Board (LHDN) regulations applicable in Malaysia Kuala Lumpur.</w:t>
      </w:r>
    </w:p>
    <w:bookmarkEnd w:id="24"/>
    <w:bookmarkStart w:id="25" w:name="invoice-notes-terms-of-service"/>
    <w:p>
      <w:pPr>
        <w:pStyle w:val="Heading3"/>
      </w:pPr>
      <w:r>
        <w:t xml:space="preserve">Invoice Notes &amp; Terms of Service</w:t>
      </w:r>
    </w:p>
    <w:p>
      <w:pPr>
        <w:pStyle w:val="FirstParagraph"/>
      </w:pPr>
      <w:r>
        <w:t xml:space="preserve">1. This Invoice covers all Chef services rendered by Culinary Excellence Sdn. Bhd. during the service period of June 2025 at the client's premises located in Malaysia Kuala Lumpur. All Chef personnel are fully insured and hold valid food handler certifications issued by the Ministry of Health, Malaysia.</w:t>
      </w:r>
    </w:p>
    <w:p>
      <w:pPr>
        <w:pStyle w:val="BodyText"/>
      </w:pPr>
      <w:r>
        <w:t xml:space="preserve">2. The Executive Chef and all supporting Chef staff are engaged on a contractual basis. Any additional Chef services requested beyond the scope defined in this Invoice will be subject to a separate quotation and written approval from both parties.</w:t>
      </w:r>
    </w:p>
    <w:p>
      <w:pPr>
        <w:pStyle w:val="BodyText"/>
      </w:pPr>
      <w:r>
        <w:t xml:space="preserve">3. All ingredients, specialised equipment, and kitchen tools required for the Chef services listed in this Invoice are included in the quoted rates unless otherwise stated. Transport and accommodation for Chef staff travelling to the Malaysia Kuala Lumpur site are covered under this Invoice.</w:t>
      </w:r>
    </w:p>
    <w:p>
      <w:pPr>
        <w:pStyle w:val="BodyText"/>
      </w:pPr>
      <w:r>
        <w:t xml:space="preserve">4. This Invoice is valid for 90 days from the date of issue. After this period, the rates may be subject to revision based on prevailing market conditions in Malaysia Kuala Lumpur. The client acknowledges receipt of this Invoice and agrees to the terms stated herein.</w:t>
      </w:r>
    </w:p>
    <w:p>
      <w:pPr>
        <w:pStyle w:val="BodyText"/>
      </w:pPr>
      <w:r>
        <w:t xml:space="preserve">5. For any disputes or queries regarding this Invoice, please contact our billing department at billing@culinaryexcellence.my or call +603-2145-6789. All communications regarding this Invoice should reference the Invoice number INV-2025-KL-00847.</w:t>
      </w:r>
    </w:p>
    <w:bookmarkEnd w:id="25"/>
    <w:p>
      <w:pPr>
        <w:pStyle w:val="BodyText"/>
      </w:pPr>
      <w:r>
        <w:rPr>
          <w:bCs/>
          <w:b/>
        </w:rPr>
        <w:t xml:space="preserve">Culinary Excellence Sdn. Bhd.</w:t>
      </w:r>
      <w:r>
        <w:t xml:space="preserve"> </w:t>
      </w:r>
      <w:r>
        <w:t xml:space="preserve">| No. 12, Jalan Ampang, 50450 Malaysia Kuala Lumpur | Tel: +603-2145-6789</w:t>
      </w:r>
    </w:p>
    <w:p>
      <w:pPr>
        <w:pStyle w:val="BodyText"/>
      </w:pPr>
      <w:r>
        <w:t xml:space="preserve">This Invoice was generated electronically and is valid without a physical signature. | Company Reg. No: 201901045678 (K) | FRP: 001234567890</w:t>
      </w:r>
    </w:p>
    <w:p>
      <w:pPr>
        <w:pStyle w:val="BodyText"/>
      </w:pPr>
      <w:r>
        <w:t xml:space="preserve">Thank you for your business. We appreciate the opportunity to provide our Chef services to your esteemed establishment in Malaysia Kuala Lumpur.</w:t>
      </w:r>
    </w:p>
    <w:p>
      <w:pPr>
        <w:pStyle w:val="BodyText"/>
      </w:pPr>
      <w:r>
        <w:t xml:space="preserve">© 2025 Culinary Excellence Sdn. Bhd. All rights reserved. This Invoice is the property of the issuing company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Malaysia Kuala Lumpur</dc:title>
  <dc:creator/>
  <dc:language>en</dc:language>
  <cp:keywords/>
  <dcterms:created xsi:type="dcterms:W3CDTF">2026-10-10T02:57:18Z</dcterms:created>
  <dcterms:modified xsi:type="dcterms:W3CDTF">2026-10-10T02:57:18Z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