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chef-alejandro-rivera-culinary-services"/>
    <w:p>
      <w:pPr>
        <w:pStyle w:val="Heading1"/>
      </w:pPr>
      <w:r>
        <w:t xml:space="preserve">Chef Alejandro Rivera Culinary Services</w:t>
      </w:r>
    </w:p>
    <w:p>
      <w:pPr>
        <w:pStyle w:val="FirstParagraph"/>
      </w:pPr>
      <w:r>
        <w:t xml:space="preserve">1200 Biscayne Boulevard, Suite 450</w:t>
      </w:r>
    </w:p>
    <w:p>
      <w:pPr>
        <w:pStyle w:val="BodyText"/>
      </w:pPr>
      <w:r>
        <w:t xml:space="preserve">United States Miami, FL 33132</w:t>
      </w:r>
    </w:p>
    <w:p>
      <w:pPr>
        <w:pStyle w:val="BodyText"/>
      </w:pPr>
      <w:r>
        <w:t xml:space="preserve">Tel: (305) 555-0187 | Email: chef.alejandro@riveraculinary.com</w:t>
      </w:r>
    </w:p>
    <w:p>
      <w:pPr>
        <w:pStyle w:val="BodyText"/>
      </w:pPr>
      <w:r>
        <w:t xml:space="preserve">FL Business License: FL-2019-4487213</w:t>
      </w:r>
    </w:p>
    <w:p>
      <w:pPr>
        <w:pStyle w:val="BodyText"/>
      </w:pPr>
      <w:r>
        <w:t xml:space="preserve">FEIN: 82-4471903</w:t>
      </w:r>
    </w:p>
    <w:bookmarkEnd w:id="20"/>
    <w:bookmarkStart w:id="21" w:name="invoice"/>
    <w:p>
      <w:pPr>
        <w:pStyle w:val="Heading2"/>
      </w:pPr>
      <w:r>
        <w:t xml:space="preserve">INVOICE</w:t>
      </w:r>
    </w:p>
    <w:p>
      <w:pPr>
        <w:pStyle w:val="FirstParagraph"/>
      </w:pPr>
      <w:r>
        <w:t xml:space="preserve">Invoice Number: INV-2025-00487</w:t>
      </w:r>
    </w:p>
    <w:p>
      <w:pPr>
        <w:pStyle w:val="BodyText"/>
      </w:pPr>
      <w:r>
        <w:t xml:space="preserve">Date Issued: June 15, 2025</w:t>
      </w:r>
    </w:p>
    <w:p>
      <w:pPr>
        <w:pStyle w:val="BodyText"/>
      </w:pPr>
      <w:r>
        <w:t xml:space="preserve">Due Date: July 15, 2025</w:t>
      </w:r>
    </w:p>
    <w:p>
      <w:pPr>
        <w:pStyle w:val="BodyText"/>
      </w:pPr>
      <w:r>
        <w:t xml:space="preserve">United States Miami</w:t>
      </w:r>
    </w:p>
    <w:bookmarkEnd w:id="21"/>
    <w:bookmarkStart w:id="22" w:name="billed-to"/>
    <w:p>
      <w:pPr>
        <w:pStyle w:val="Heading3"/>
      </w:pPr>
      <w:r>
        <w:t xml:space="preserve">Billed To</w:t>
      </w:r>
    </w:p>
    <w:p>
      <w:pPr>
        <w:pStyle w:val="FirstParagraph"/>
      </w:pPr>
      <w:r>
        <w:rPr>
          <w:bCs/>
          <w:b/>
        </w:rPr>
        <w:t xml:space="preserve">Marina Bay Events &amp; Catering LLC</w:t>
      </w:r>
    </w:p>
    <w:p>
      <w:pPr>
        <w:pStyle w:val="BodyText"/>
      </w:pPr>
      <w:r>
        <w:t xml:space="preserve">2850 Brickell Avenue, Floor 12</w:t>
      </w:r>
    </w:p>
    <w:p>
      <w:pPr>
        <w:pStyle w:val="BodyText"/>
      </w:pPr>
      <w:r>
        <w:t xml:space="preserve">United States Miami, FL 33133</w:t>
      </w:r>
    </w:p>
    <w:p>
      <w:pPr>
        <w:pStyle w:val="BodyText"/>
      </w:pPr>
      <w:r>
        <w:t xml:space="preserve">Contact: Ms. Patricia Delgado</w:t>
      </w:r>
    </w:p>
    <w:p>
      <w:pPr>
        <w:pStyle w:val="BodyText"/>
      </w:pPr>
      <w:r>
        <w:t xml:space="preserve">Email: p.delgado@marinabayevents.com</w:t>
      </w:r>
    </w:p>
    <w:bookmarkEnd w:id="22"/>
    <w:bookmarkStart w:id="23" w:name="invoice-details"/>
    <w:p>
      <w:pPr>
        <w:pStyle w:val="Heading3"/>
      </w:pPr>
      <w:r>
        <w:t xml:space="preserve">Invoice Details</w:t>
      </w:r>
    </w:p>
    <w:p>
      <w:pPr>
        <w:pStyle w:val="FirstParagraph"/>
      </w:pPr>
      <w:r>
        <w:rPr>
          <w:bCs/>
          <w:b/>
        </w:rPr>
        <w:t xml:space="preserve">Service Period:</w:t>
      </w:r>
      <w:r>
        <w:t xml:space="preserve"> </w:t>
      </w:r>
      <w:r>
        <w:t xml:space="preserve">June 1 – June 14, 2025</w:t>
      </w:r>
    </w:p>
    <w:p>
      <w:pPr>
        <w:pStyle w:val="BodyText"/>
      </w:pPr>
      <w:r>
        <w:rPr>
          <w:bCs/>
          <w:b/>
        </w:rPr>
        <w:t xml:space="preserve">Project:</w:t>
      </w:r>
      <w:r>
        <w:t xml:space="preserve"> </w:t>
      </w:r>
      <w:r>
        <w:t xml:space="preserve">Private Chef Engagement – Summer Gala Series</w:t>
      </w:r>
    </w:p>
    <w:p>
      <w:pPr>
        <w:pStyle w:val="BodyText"/>
      </w:pPr>
      <w:r>
        <w:rPr>
          <w:bCs/>
          <w:b/>
        </w:rPr>
        <w:t xml:space="preserve">Location of Service:</w:t>
      </w:r>
      <w:r>
        <w:t xml:space="preserve"> </w:t>
      </w:r>
      <w:r>
        <w:t xml:space="preserve">United States Miami, FL</w:t>
      </w:r>
    </w:p>
    <w:p>
      <w:pPr>
        <w:pStyle w:val="BodyText"/>
      </w:pPr>
      <w:r>
        <w:rPr>
          <w:bCs/>
          <w:b/>
        </w:rPr>
        <w:t xml:space="preserve">Currency:</w:t>
      </w:r>
      <w:r>
        <w:t xml:space="preserve"> </w:t>
      </w:r>
      <w:r>
        <w:t xml:space="preserve">USD ($)</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Chef Services</w:t>
            </w:r>
          </w:p>
        </w:tc>
        <w:tc>
          <w:tcPr/>
          <w:p>
            <w:pPr>
              <w:pStyle w:val="Compact"/>
              <w:jc w:val="left"/>
            </w:pPr>
            <w:r>
              <w:t xml:space="preserve">Date(s)</w:t>
            </w:r>
          </w:p>
        </w:tc>
        <w:tc>
          <w:tcPr/>
          <w:p>
            <w:pPr>
              <w:pStyle w:val="Compact"/>
              <w:jc w:val="left"/>
            </w:pPr>
            <w:r>
              <w:t xml:space="preserve">Qty</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Executive Chef consultation and menu design for the Summer Gala Series. The Chef developed a twelve-course tasting menu incorporating local United States Miami seafood, tropical fruits, and Latin-inspired techniques. Includes three rounds of menu revisions and a full tasting session for the client's executive team.</w:t>
            </w:r>
          </w:p>
        </w:tc>
        <w:tc>
          <w:tcPr/>
          <w:p>
            <w:pPr>
              <w:pStyle w:val="Compact"/>
              <w:jc w:val="left"/>
            </w:pPr>
            <w:r>
              <w:t xml:space="preserve">Jun 1–3</w:t>
            </w:r>
          </w:p>
        </w:tc>
        <w:tc>
          <w:tcPr/>
          <w:p>
            <w:pPr>
              <w:pStyle w:val="Compact"/>
              <w:jc w:val="left"/>
            </w:pPr>
            <w:r>
              <w:t xml:space="preserve">3 days</w:t>
            </w:r>
          </w:p>
        </w:tc>
        <w:tc>
          <w:tcPr/>
          <w:p>
            <w:pPr>
              <w:pStyle w:val="Compact"/>
              <w:jc w:val="left"/>
            </w:pPr>
            <w:r>
              <w:t xml:space="preserve">$850.00</w:t>
            </w:r>
          </w:p>
        </w:tc>
        <w:tc>
          <w:tcPr/>
          <w:p>
            <w:pPr>
              <w:pStyle w:val="Compact"/>
              <w:jc w:val="left"/>
            </w:pPr>
            <w:r>
              <w:t xml:space="preserve">$2,550.00</w:t>
            </w:r>
          </w:p>
        </w:tc>
      </w:tr>
      <w:tr>
        <w:tc>
          <w:tcPr/>
          <w:p>
            <w:pPr>
              <w:pStyle w:val="Compact"/>
              <w:jc w:val="left"/>
            </w:pPr>
            <w:r>
              <w:t xml:space="preserve">2</w:t>
            </w:r>
          </w:p>
        </w:tc>
        <w:tc>
          <w:tcPr/>
          <w:p>
            <w:pPr>
              <w:pStyle w:val="Compact"/>
              <w:jc w:val="left"/>
            </w:pPr>
            <w:r>
              <w:t xml:space="preserve">On-site Chef preparation and execution of the main gala dinner for 120 guests at the Biscayne Bay waterfront venue. The Chef led a team of four sous chefs and six line cooks. Service included live carving station, interactive dessert table, and a dedicated Chef's table for VIP guests.</w:t>
            </w:r>
          </w:p>
        </w:tc>
        <w:tc>
          <w:tcPr/>
          <w:p>
            <w:pPr>
              <w:pStyle w:val="Compact"/>
              <w:jc w:val="left"/>
            </w:pPr>
            <w:r>
              <w:t xml:space="preserve">Jun 7</w:t>
            </w:r>
          </w:p>
        </w:tc>
        <w:tc>
          <w:tcPr/>
          <w:p>
            <w:pPr>
              <w:pStyle w:val="Compact"/>
              <w:jc w:val="left"/>
            </w:pPr>
            <w:r>
              <w:t xml:space="preserve">1 event</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3</w:t>
            </w:r>
          </w:p>
        </w:tc>
        <w:tc>
          <w:tcPr/>
          <w:p>
            <w:pPr>
              <w:pStyle w:val="Compact"/>
              <w:jc w:val="left"/>
            </w:pPr>
            <w:r>
              <w:t xml:space="preserve">Private Chef in-home dinner for the client's board of directors (8 guests). The Chef prepared a five-course Mediterranean-Florida fusion menu at the client's residence in Coral Gables, United States Miami. Includes grocery procurement, full kitchen setup, service, and post-event cleanup.</w:t>
            </w:r>
          </w:p>
        </w:tc>
        <w:tc>
          <w:tcPr/>
          <w:p>
            <w:pPr>
              <w:pStyle w:val="Compact"/>
              <w:jc w:val="left"/>
            </w:pPr>
            <w:r>
              <w:t xml:space="preserve">Jun 10</w:t>
            </w:r>
          </w:p>
        </w:tc>
        <w:tc>
          <w:tcPr/>
          <w:p>
            <w:pPr>
              <w:pStyle w:val="Compact"/>
              <w:jc w:val="left"/>
            </w:pPr>
            <w:r>
              <w:t xml:space="preserve">1 event</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4</w:t>
            </w:r>
          </w:p>
        </w:tc>
        <w:tc>
          <w:tcPr/>
          <w:p>
            <w:pPr>
              <w:pStyle w:val="Compact"/>
              <w:jc w:val="left"/>
            </w:pPr>
            <w:r>
              <w:t xml:space="preserve">Chef-led cooking demonstration and workshop for 30 corporate attendees at the client's office. The Chef taught a hands-on session on preparing fresh United States Miami stone crab, blackened mahi-mahi, and a seasonal mango salsa. Includes recipe cards, ingredient kits, and a 90-minute Q&amp;A.</w:t>
            </w:r>
          </w:p>
        </w:tc>
        <w:tc>
          <w:tcPr/>
          <w:p>
            <w:pPr>
              <w:pStyle w:val="Compact"/>
              <w:jc w:val="left"/>
            </w:pPr>
            <w:r>
              <w:t xml:space="preserve">Jun 12</w:t>
            </w:r>
          </w:p>
        </w:tc>
        <w:tc>
          <w:tcPr/>
          <w:p>
            <w:pPr>
              <w:pStyle w:val="Compact"/>
              <w:jc w:val="left"/>
            </w:pPr>
            <w:r>
              <w:t xml:space="preserve">1 session</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5</w:t>
            </w:r>
          </w:p>
        </w:tc>
        <w:tc>
          <w:tcPr/>
          <w:p>
            <w:pPr>
              <w:pStyle w:val="Compact"/>
              <w:jc w:val="left"/>
            </w:pPr>
            <w:r>
              <w:t xml:space="preserve">Food and beverage cost management and inventory audit. The Chef conducted a full review of the client's catering kitchen operations, provided a written report on waste reduction strategies, and recommended supplier changes to improve margins by an estimated 12%.</w:t>
            </w:r>
          </w:p>
        </w:tc>
        <w:tc>
          <w:tcPr/>
          <w:p>
            <w:pPr>
              <w:pStyle w:val="Compact"/>
              <w:jc w:val="left"/>
            </w:pPr>
            <w:r>
              <w:t xml:space="preserve">Jun 13–14</w:t>
            </w:r>
          </w:p>
        </w:tc>
        <w:tc>
          <w:tcPr/>
          <w:p>
            <w:pPr>
              <w:pStyle w:val="Compact"/>
              <w:jc w:val="left"/>
            </w:pPr>
            <w:r>
              <w:t xml:space="preserve">2 days</w:t>
            </w:r>
          </w:p>
        </w:tc>
        <w:tc>
          <w:tcPr/>
          <w:p>
            <w:pPr>
              <w:pStyle w:val="Compact"/>
              <w:jc w:val="left"/>
            </w:pPr>
            <w:r>
              <w:t xml:space="preserve">$600.00</w:t>
            </w:r>
          </w:p>
        </w:tc>
        <w:tc>
          <w:tcPr/>
          <w:p>
            <w:pPr>
              <w:pStyle w:val="Compact"/>
              <w:jc w:val="left"/>
            </w:pPr>
            <w:r>
              <w:t xml:space="preserve">$1,200.00</w:t>
            </w:r>
          </w:p>
        </w:tc>
      </w:tr>
      <w:tr>
        <w:tc>
          <w:tcPr/>
          <w:p>
            <w:pPr>
              <w:pStyle w:val="Compact"/>
              <w:jc w:val="left"/>
            </w:pPr>
            <w:r>
              <w:t xml:space="preserve">6</w:t>
            </w:r>
          </w:p>
        </w:tc>
        <w:tc>
          <w:tcPr/>
          <w:p>
            <w:pPr>
              <w:pStyle w:val="Compact"/>
              <w:jc w:val="left"/>
            </w:pPr>
            <w:r>
              <w:t xml:space="preserve">Travel and transportation within the United States Miami metropolitan area for all Chef engagements listed above. Includes fuel, parking, and tolls for the Chef's personal vehicle and the transport of professional kitchen equipment.</w:t>
            </w:r>
          </w:p>
        </w:tc>
        <w:tc>
          <w:tcPr/>
          <w:p>
            <w:pPr>
              <w:pStyle w:val="Compact"/>
              <w:jc w:val="left"/>
            </w:pPr>
            <w:r>
              <w:t xml:space="preserve">Jun 1–14</w:t>
            </w:r>
          </w:p>
        </w:tc>
        <w:tc>
          <w:tcPr/>
          <w:p>
            <w:pPr>
              <w:pStyle w:val="Compact"/>
              <w:jc w:val="left"/>
            </w:pPr>
            <w:r>
              <w:t xml:space="preserve">Flat</w:t>
            </w:r>
          </w:p>
        </w:tc>
        <w:tc>
          <w:tcPr/>
          <w:p>
            <w:pPr>
              <w:pStyle w:val="Compact"/>
              <w:jc w:val="left"/>
            </w:pPr>
            <w:r>
              <w:t xml:space="preserve">$450.00</w:t>
            </w:r>
          </w:p>
        </w:tc>
        <w:tc>
          <w:tcPr/>
          <w:p>
            <w:pPr>
              <w:pStyle w:val="Compact"/>
              <w:jc w:val="left"/>
            </w:pPr>
            <w:r>
              <w:t xml:space="preserve">$450.00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$14,700.00</w:t>
            </w:r>
          </w:p>
        </w:tc>
      </w:tr>
      <w:tr>
        <w:tc>
          <w:tcPr/>
          <w:p>
            <w:pPr>
              <w:pStyle w:val="Compact"/>
              <w:jc w:val="left"/>
            </w:pPr>
            <w:r>
              <w:t xml:space="preserve">Florida State Sales Tax (7.0%)</w:t>
            </w:r>
          </w:p>
        </w:tc>
        <w:tc>
          <w:tcPr/>
          <w:p>
            <w:pPr>
              <w:pStyle w:val="Compact"/>
              <w:jc w:val="left"/>
            </w:pPr>
            <w:r>
              <w:t xml:space="preserve">$1,029.00</w:t>
            </w:r>
          </w:p>
        </w:tc>
      </w:tr>
      <w:tr>
        <w:tc>
          <w:tcPr/>
          <w:p>
            <w:pPr>
              <w:pStyle w:val="Compact"/>
              <w:jc w:val="left"/>
            </w:pPr>
            <w:r>
              <w:t xml:space="preserve">Miami-Dade County Surcharge (0.5%)</w:t>
            </w:r>
          </w:p>
        </w:tc>
        <w:tc>
          <w:tcPr/>
          <w:p>
            <w:pPr>
              <w:pStyle w:val="Compact"/>
              <w:jc w:val="left"/>
            </w:pPr>
            <w:r>
              <w:t xml:space="preserve">$73.50</w:t>
            </w:r>
          </w:p>
        </w:tc>
      </w:tr>
      <w:tr>
        <w:tc>
          <w:tcPr/>
          <w:p>
            <w:pPr>
              <w:pStyle w:val="Compact"/>
              <w:jc w:val="left"/>
            </w:pPr>
            <w:r>
              <w:t xml:space="preserve">Early Payment Discount (2% – if paid before Jun 30, 2025)</w:t>
            </w:r>
          </w:p>
        </w:tc>
        <w:tc>
          <w:tcPr/>
          <w:p>
            <w:pPr>
              <w:pStyle w:val="Compact"/>
              <w:jc w:val="left"/>
            </w:pPr>
            <w:r>
              <w:t xml:space="preserve">($294.00)</w:t>
            </w:r>
          </w:p>
        </w:tc>
      </w:tr>
      <w:tr>
        <w:tc>
          <w:tcPr/>
          <w:p>
            <w:pPr>
              <w:pStyle w:val="Compact"/>
              <w:jc w:val="left"/>
            </w:pPr>
            <w:r>
              <w:t xml:space="preserve">Invoice Total Due</w:t>
            </w:r>
          </w:p>
        </w:tc>
        <w:tc>
          <w:tcPr/>
          <w:p>
            <w:pPr>
              <w:pStyle w:val="Compact"/>
              <w:jc w:val="left"/>
            </w:pPr>
            <w:r>
              <w:t xml:space="preserve">$15,508.50</w:t>
            </w:r>
          </w:p>
        </w:tc>
      </w:tr>
    </w:tbl>
    <w:bookmarkStart w:id="24" w:name="payment-terms-instructions"/>
    <w:p>
      <w:pPr>
        <w:pStyle w:val="Heading3"/>
      </w:pPr>
      <w:r>
        <w:t xml:space="preserve">Payment Terms &amp; Instructions</w:t>
      </w:r>
    </w:p>
    <w:p>
      <w:pPr>
        <w:pStyle w:val="FirstParagraph"/>
      </w:pPr>
      <w:r>
        <w:t xml:space="preserve">This Invoice is payable within thirty (30) days of the issue date, no later than</w:t>
      </w:r>
      <w:r>
        <w:t xml:space="preserve"> </w:t>
      </w:r>
      <w:r>
        <w:rPr>
          <w:bCs/>
          <w:b/>
        </w:rPr>
        <w:t xml:space="preserve">July 15, 2025</w:t>
      </w:r>
      <w:r>
        <w:t xml:space="preserve">. Please make all payments in U.S. Dollars (USD) via one of the following methods:</w:t>
      </w:r>
    </w:p>
    <w:p>
      <w:pPr>
        <w:numPr>
          <w:ilvl w:val="0"/>
          <w:numId w:val="1001"/>
        </w:numPr>
        <w:pStyle w:val="Compact"/>
      </w:pPr>
      <w:r>
        <w:rPr>
          <w:bCs/>
          <w:b/>
        </w:rPr>
        <w:t xml:space="preserve">Bank Wire / ACH:</w:t>
      </w:r>
      <w:r>
        <w:t xml:space="preserve"> </w:t>
      </w:r>
      <w:r>
        <w:t xml:space="preserve">First National Bank of Miami – Account: 4487-2210-9934 – Routing: 021000021 – Reference: INV-2025-00487</w:t>
      </w:r>
    </w:p>
    <w:p>
      <w:pPr>
        <w:numPr>
          <w:ilvl w:val="0"/>
          <w:numId w:val="1001"/>
        </w:numPr>
        <w:pStyle w:val="Compact"/>
      </w:pPr>
      <w:r>
        <w:rPr>
          <w:bCs/>
          <w:b/>
        </w:rPr>
        <w:t xml:space="preserve">Check:</w:t>
      </w:r>
      <w:r>
        <w:t xml:space="preserve"> </w:t>
      </w:r>
      <w:r>
        <w:t xml:space="preserve">Payable to "Chef Alejandro Rivera Culinary Services" and mailed to the address listed in the header of this Invoice.</w:t>
      </w:r>
    </w:p>
    <w:p>
      <w:pPr>
        <w:numPr>
          <w:ilvl w:val="0"/>
          <w:numId w:val="1001"/>
        </w:numPr>
        <w:pStyle w:val="Compact"/>
      </w:pPr>
      <w:r>
        <w:rPr>
          <w:bCs/>
          <w:b/>
        </w:rPr>
        <w:t xml:space="preserve">Credit Card:</w:t>
      </w:r>
      <w:r>
        <w:t xml:space="preserve"> </w:t>
      </w:r>
      <w:r>
        <w:t xml:space="preserve">Visa, Mastercard, or American Express accepted with a 2.9% processing surcharge applied to the Invoice total.</w:t>
      </w:r>
    </w:p>
    <w:p>
      <w:pPr>
        <w:pStyle w:val="FirstParagraph"/>
      </w:pPr>
      <w:r>
        <w:t xml:space="preserve">A late payment fee of 1.5% per month will be assessed on any outstanding balance after the due date. This Invoice is governed by the laws of the State of Florida, United States Miami jurisdiction.</w:t>
      </w:r>
    </w:p>
    <w:bookmarkEnd w:id="24"/>
    <w:bookmarkStart w:id="25" w:name="additional-notes"/>
    <w:p>
      <w:pPr>
        <w:pStyle w:val="Heading3"/>
      </w:pPr>
      <w:r>
        <w:t xml:space="preserve">Additional Notes</w:t>
      </w:r>
    </w:p>
    <w:p>
      <w:pPr>
        <w:pStyle w:val="FirstParagraph"/>
      </w:pPr>
      <w:r>
        <w:t xml:space="preserve">The Chef wishes to thank Marina Bay Events &amp; Catering LLC for the opportunity to collaborate on the Summer Gala Series. All menus, recipes, and proprietary techniques developed during this engagement remain the intellectual property of Chef Alejandro Rivera Culinary Services unless otherwise agreed in writing.</w:t>
      </w:r>
    </w:p>
    <w:p>
      <w:pPr>
        <w:pStyle w:val="BodyText"/>
      </w:pPr>
      <w:r>
        <w:t xml:space="preserve">All food preparation was conducted in compliance with the Florida Department of Business and Professional Regulation, Division of Hotels and Restaurants, and the Miami-Dade County Health Department. The Chef holds a valid Food Manager's Certification (ServSafe) and all team members maintained current food handler cards throughout the service period in United States Miami.</w:t>
      </w:r>
    </w:p>
    <w:p>
      <w:pPr>
        <w:pStyle w:val="BodyText"/>
      </w:pPr>
      <w:r>
        <w:t xml:space="preserve">Please retain this Invoice for your accounting records. A digital copy has also been sent to your designated email on file. If you have any questions regarding any line item on this Invoice, please contact the Chef's office at (305) 555-0187 within ten business days of receipt.</w:t>
      </w:r>
    </w:p>
    <w:bookmarkEnd w:id="25"/>
    <w:p>
      <w:pPr>
        <w:pStyle w:val="BodyText"/>
      </w:pPr>
      <w:r>
        <w:rPr>
          <w:bCs/>
          <w:b/>
        </w:rPr>
        <w:t xml:space="preserve">Chef Alejandro Rivera Culinary Services</w:t>
      </w:r>
      <w:r>
        <w:t xml:space="preserve"> </w:t>
      </w:r>
      <w:r>
        <w:t xml:space="preserve">| 1200 Biscayne Boulevard, Suite 450, United States Miami, FL 33132</w:t>
      </w:r>
    </w:p>
    <w:p>
      <w:pPr>
        <w:pStyle w:val="BodyText"/>
      </w:pPr>
      <w:r>
        <w:t xml:space="preserve">FL Business License: FL-2019-4487213 | FEIN: 82-4471903 | General Liability Insurance: Policy #GL-882341 (State Farm)</w:t>
      </w:r>
    </w:p>
    <w:p>
      <w:pPr>
        <w:pStyle w:val="BodyText"/>
      </w:pPr>
      <w:r>
        <w:t xml:space="preserve">This Invoice was generated electronically and is valid without a physical signature. Thank you for your business.</w:t>
      </w:r>
    </w:p>
    <w:p>
      <w:pPr>
        <w:pStyle w:val="BodyText"/>
      </w:pPr>
      <w:r>
        <w:t xml:space="preserve">© 2025 Chef Alejandro Rivera Culinary Services. All rights reserved. Invoice INV-2025-00487 – United States Miami, Florida.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Chef Services - United States Miami</dc:title>
  <dc:creator/>
  <dc:language>en</dc:language>
  <cp:keywords/>
  <dcterms:created xsi:type="dcterms:W3CDTF">2026-10-10T03:39:48Z</dcterms:created>
  <dcterms:modified xsi:type="dcterms:W3CDTF">2026-10-10T03:39:48Z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