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Chemical</w:t>
      </w:r>
      <w:r>
        <w:t xml:space="preserve"> </w:t>
      </w:r>
      <w:r>
        <w:t xml:space="preserve">Engineering</w:t>
      </w:r>
      <w:r>
        <w:t xml:space="preserve"> </w:t>
      </w:r>
      <w:r>
        <w:t xml:space="preserve">Services</w:t>
      </w:r>
    </w:p>
    <w:bookmarkStart w:id="20" w:name="apex-chemical-engineering-solutions-ltd."/>
    <w:p>
      <w:pPr>
        <w:pStyle w:val="Heading1"/>
      </w:pPr>
      <w:r>
        <w:t xml:space="preserve">Apex Chemical Engineering Solutions Ltd.</w:t>
      </w:r>
    </w:p>
    <w:p>
      <w:pPr>
        <w:pStyle w:val="FirstParagraph"/>
      </w:pPr>
      <w:r>
        <w:t xml:space="preserve">Plot No. 45, Sector 12, Uttara Industrial Area</w:t>
      </w:r>
    </w:p>
    <w:p>
      <w:pPr>
        <w:pStyle w:val="BodyText"/>
      </w:pPr>
      <w:r>
        <w:t xml:space="preserve">Dhaka-1230, Bangladesh</w:t>
      </w:r>
    </w:p>
    <w:p>
      <w:pPr>
        <w:pStyle w:val="BodyText"/>
      </w:pPr>
      <w:r>
        <w:t xml:space="preserve">TIN: 1234567890123 | BIN: 123456789012</w:t>
      </w:r>
    </w:p>
    <w:p>
      <w:pPr>
        <w:pStyle w:val="BodyText"/>
      </w:pPr>
      <w:r>
        <w:t xml:space="preserve">Email: billing@apexchemicalbd.com | Phone: +880-2-8812345</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ACE-2024-0892</w:t>
      </w:r>
    </w:p>
    <w:p>
      <w:pPr>
        <w:pStyle w:val="BodyText"/>
      </w:pPr>
      <w:r>
        <w:rPr>
          <w:bCs/>
          <w:b/>
        </w:rPr>
        <w:t xml:space="preserve">Date:</w:t>
      </w:r>
      <w:r>
        <w:t xml:space="preserve"> </w:t>
      </w:r>
      <w:r>
        <w:t xml:space="preserve">November 15, 2024</w:t>
      </w:r>
    </w:p>
    <w:p>
      <w:pPr>
        <w:pStyle w:val="BodyText"/>
      </w:pPr>
      <w:r>
        <w:rPr>
          <w:bCs/>
          <w:b/>
        </w:rPr>
        <w:t xml:space="preserve">Due Date:</w:t>
      </w:r>
      <w:r>
        <w:t xml:space="preserve"> </w:t>
      </w:r>
      <w:r>
        <w:t xml:space="preserve">December 15, 2024</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Dhaka Petrochemical Industries PLC</w:t>
      </w:r>
    </w:p>
    <w:p>
      <w:pPr>
        <w:pStyle w:val="BodyText"/>
      </w:pPr>
      <w:r>
        <w:t xml:space="preserve">Attn: Procurement Department</w:t>
      </w:r>
    </w:p>
    <w:p>
      <w:pPr>
        <w:pStyle w:val="BodyText"/>
      </w:pPr>
      <w:r>
        <w:t xml:space="preserve">House 22, Road 11, Gulshan-2</w:t>
      </w:r>
    </w:p>
    <w:p>
      <w:pPr>
        <w:pStyle w:val="BodyText"/>
      </w:pPr>
      <w:r>
        <w:t xml:space="preserve">Dhaka-1212, Bangladesh</w:t>
      </w:r>
    </w:p>
    <w:p>
      <w:pPr>
        <w:pStyle w:val="BodyText"/>
      </w:pPr>
      <w:r>
        <w:t xml:space="preserve">TIN: 9876543210987</w:t>
      </w:r>
    </w:p>
    <w:bookmarkEnd w:id="22"/>
    <w:p>
      <w:pPr>
        <w:pStyle w:val="BodyText"/>
      </w:pPr>
      <w:r>
        <w:rPr>
          <w:bCs/>
          <w:b/>
        </w:rPr>
        <w:t xml:space="preserve">Service Location:</w:t>
      </w:r>
      <w:r>
        <w:t xml:space="preserve"> </w:t>
      </w:r>
      <w:r>
        <w:t xml:space="preserve">All engineering services described in this invoice were performed at our facility in Uttara, Dhaka, Bangladesh, and at your plant site in Chittagong, Bangladesh. All calculations comply with Bangladesh National Building Code (BNBC) and Bangladesh Standards and Testing Institution (BSTI) regulations.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Chemical Engineering Services</w:t>
            </w:r>
          </w:p>
        </w:tc>
        <w:tc>
          <w:tcPr/>
          <w:p>
            <w:pPr>
              <w:pStyle w:val="Compact"/>
              <w:jc w:val="left"/>
            </w:pPr>
            <w:r>
              <w:t xml:space="preserve">Quantity</w:t>
            </w:r>
          </w:p>
        </w:tc>
        <w:tc>
          <w:tcPr/>
          <w:p>
            <w:pPr>
              <w:pStyle w:val="Compact"/>
              <w:jc w:val="left"/>
            </w:pPr>
            <w:r>
              <w:t xml:space="preserve">Unit Rate (BDT)</w:t>
            </w:r>
          </w:p>
        </w:tc>
        <w:tc>
          <w:tcPr/>
          <w:p>
            <w:pPr>
              <w:pStyle w:val="Compact"/>
              <w:jc w:val="left"/>
            </w:pPr>
            <w:r>
              <w:t xml:space="preserve">Amount (BDT)</w:t>
            </w:r>
          </w:p>
        </w:tc>
      </w:tr>
      <w:tr>
        <w:tc>
          <w:tcPr/>
          <w:p>
            <w:pPr>
              <w:pStyle w:val="Compact"/>
              <w:jc w:val="left"/>
            </w:pPr>
            <w:r>
              <w:t xml:space="preserve">1</w:t>
            </w:r>
          </w:p>
        </w:tc>
        <w:tc>
          <w:tcPr/>
          <w:p>
            <w:pPr>
              <w:pStyle w:val="Compact"/>
              <w:jc w:val="left"/>
            </w:pPr>
            <w:r>
              <w:rPr>
                <w:bCs/>
                <w:b/>
              </w:rPr>
              <w:t xml:space="preserve">Process Design &amp; Optimization:</w:t>
            </w:r>
            <w:r>
              <w:t xml:space="preserve"> </w:t>
            </w:r>
            <w:r>
              <w:t xml:space="preserve">Comprehensive chemical process design for new ethylene production unit including mass and energy balance calculations, reactor sizing, and heat exchanger network optimization. Performed by senior Chemical Engineer with 15+ years experience in petrochemical industry.</w:t>
            </w:r>
          </w:p>
        </w:tc>
        <w:tc>
          <w:tcPr/>
          <w:p>
            <w:pPr>
              <w:pStyle w:val="Compact"/>
              <w:jc w:val="left"/>
            </w:pPr>
            <w:r>
              <w:t xml:space="preserve">1</w:t>
            </w:r>
          </w:p>
        </w:tc>
        <w:tc>
          <w:tcPr/>
          <w:p>
            <w:pPr>
              <w:pStyle w:val="Compact"/>
              <w:jc w:val="left"/>
            </w:pPr>
            <w:r>
              <w:t xml:space="preserve">850,000.00</w:t>
            </w:r>
          </w:p>
        </w:tc>
        <w:tc>
          <w:tcPr/>
          <w:p>
            <w:pPr>
              <w:pStyle w:val="Compact"/>
              <w:jc w:val="left"/>
            </w:pPr>
            <w:r>
              <w:t xml:space="preserve">850,000.00</w:t>
            </w:r>
          </w:p>
        </w:tc>
      </w:tr>
      <w:tr>
        <w:tc>
          <w:tcPr/>
          <w:p>
            <w:pPr>
              <w:pStyle w:val="Compact"/>
              <w:jc w:val="left"/>
            </w:pPr>
            <w:r>
              <w:t xml:space="preserve">2</w:t>
            </w:r>
          </w:p>
        </w:tc>
        <w:tc>
          <w:tcPr/>
          <w:p>
            <w:pPr>
              <w:pStyle w:val="Compact"/>
              <w:jc w:val="left"/>
            </w:pPr>
            <w:r>
              <w:rPr>
                <w:bCs/>
                <w:b/>
              </w:rPr>
              <w:t xml:space="preserve">P&amp;ID Development:</w:t>
            </w:r>
            <w:r>
              <w:t xml:space="preserve"> </w:t>
            </w:r>
            <w:r>
              <w:t xml:space="preserve">Creation of detailed Piping and Instrumentation Diagrams (P&amp;IDs) for complete chemical processing facility including safety relief systems, control loops, and utility connections. All diagrams prepared according to ISO 10628 standards and Bangladesh regulatory requirements.</w:t>
            </w:r>
          </w:p>
        </w:tc>
        <w:tc>
          <w:tcPr/>
          <w:p>
            <w:pPr>
              <w:pStyle w:val="Compact"/>
              <w:jc w:val="left"/>
            </w:pPr>
            <w:r>
              <w:t xml:space="preserve">1</w:t>
            </w:r>
          </w:p>
        </w:tc>
        <w:tc>
          <w:tcPr/>
          <w:p>
            <w:pPr>
              <w:pStyle w:val="Compact"/>
              <w:jc w:val="left"/>
            </w:pPr>
            <w:r>
              <w:t xml:space="preserve">420,000.00</w:t>
            </w:r>
          </w:p>
        </w:tc>
        <w:tc>
          <w:tcPr/>
          <w:p>
            <w:pPr>
              <w:pStyle w:val="Compact"/>
              <w:jc w:val="left"/>
            </w:pPr>
            <w:r>
              <w:t xml:space="preserve">420,000.00</w:t>
            </w:r>
          </w:p>
        </w:tc>
      </w:tr>
      <w:tr>
        <w:tc>
          <w:tcPr/>
          <w:p>
            <w:pPr>
              <w:pStyle w:val="Compact"/>
              <w:jc w:val="left"/>
            </w:pPr>
            <w:r>
              <w:t xml:space="preserve">3</w:t>
            </w:r>
          </w:p>
        </w:tc>
        <w:tc>
          <w:tcPr/>
          <w:p>
            <w:pPr>
              <w:pStyle w:val="Compact"/>
              <w:jc w:val="left"/>
            </w:pPr>
            <w:r>
              <w:t xml:space="preserve">Hazard Analysis (HAZOP):strong&gt; Complete Hazard and Operability Study for chemical processing plant conducted by certified Chemical Engineer team. Includes identification of process hazards, risk assessment, and recommendation of safety measures in compliance with Bangladesh Fire Service and Civil Defense requirements.</w:t>
            </w:r>
          </w:p>
        </w:tc>
        <w:tc>
          <w:tcPr/>
          <w:p>
            <w:pPr>
              <w:pStyle w:val="Compact"/>
              <w:jc w:val="left"/>
            </w:pPr>
            <w:r>
              <w:t xml:space="preserve">1</w:t>
            </w:r>
          </w:p>
        </w:tc>
        <w:tc>
          <w:tcPr/>
          <w:p>
            <w:pPr>
              <w:pStyle w:val="Compact"/>
              <w:jc w:val="left"/>
            </w:pPr>
            <w:r>
              <w:t xml:space="preserve">380,000.00</w:t>
            </w:r>
          </w:p>
        </w:tc>
        <w:tc>
          <w:tcPr/>
          <w:p>
            <w:pPr>
              <w:pStyle w:val="Compact"/>
              <w:jc w:val="left"/>
            </w:pPr>
            <w:r>
              <w:t xml:space="preserve">380,000.00</w:t>
            </w:r>
          </w:p>
        </w:tc>
      </w:tr>
      <w:tr>
        <w:tc>
          <w:tcPr/>
          <w:p>
            <w:pPr>
              <w:pStyle w:val="Compact"/>
              <w:jc w:val="left"/>
            </w:pPr>
            <w:r>
              <w:t xml:space="preserve">4</w:t>
            </w:r>
          </w:p>
        </w:tc>
        <w:tc>
          <w:tcPr/>
          <w:p>
            <w:pPr>
              <w:pStyle w:val="Compact"/>
              <w:jc w:val="left"/>
            </w:pPr>
            <w:r>
              <w:rPr>
                <w:bCs/>
                <w:b/>
              </w:rPr>
              <w:t xml:space="preserve">Equipment Specification:</w:t>
            </w:r>
            <w:r>
              <w:t xml:space="preserve"> </w:t>
            </w:r>
            <w:r>
              <w:t xml:space="preserve">Detailed technical specifications for all major chemical processing equipment including reactors, distillation columns, pumps, compressors, and storage tanks. Specifications include material selection for corrosion resistance and compliance with ASME standards.</w:t>
            </w:r>
          </w:p>
        </w:tc>
        <w:tc>
          <w:tcPr/>
          <w:p>
            <w:pPr>
              <w:pStyle w:val="Compact"/>
              <w:jc w:val="left"/>
            </w:pPr>
            <w:r>
              <w:t xml:space="preserve">1</w:t>
            </w:r>
          </w:p>
        </w:tc>
        <w:tc>
          <w:tcPr/>
          <w:p>
            <w:pPr>
              <w:pStyle w:val="Compact"/>
              <w:jc w:val="left"/>
            </w:pPr>
            <w:r>
              <w:t xml:space="preserve">290,000.00</w:t>
            </w:r>
          </w:p>
        </w:tc>
        <w:tc>
          <w:tcPr/>
          <w:p>
            <w:pPr>
              <w:pStyle w:val="Compact"/>
              <w:jc w:val="left"/>
            </w:pPr>
            <w:r>
              <w:t xml:space="preserve">290,000.00</w:t>
            </w:r>
          </w:p>
        </w:tc>
      </w:tr>
      <w:tr>
        <w:tc>
          <w:tcPr/>
          <w:p>
            <w:pPr>
              <w:pStyle w:val="Compact"/>
              <w:jc w:val="left"/>
            </w:pPr>
            <w:r>
              <w:t xml:space="preserve">5</w:t>
            </w:r>
          </w:p>
        </w:tc>
        <w:tc>
          <w:tcPr/>
          <w:p>
            <w:pPr>
              <w:pStyle w:val="Compact"/>
              <w:jc w:val="left"/>
            </w:pPr>
            <w:r>
              <w:rPr>
                <w:bCs/>
                <w:b/>
              </w:rPr>
              <w:t xml:space="preserve">Environmental Impact Assessment Support:</w:t>
            </w:r>
            <w:r>
              <w:t xml:space="preserve"> </w:t>
            </w:r>
            <w:r>
              <w:t xml:space="preserve">Chemical engineering analysis for environmental compliance including emission calculations, wastewater treatment design, and hazardous waste management protocols. Prepared in accordance with Bangladesh Environmental Conservation Rules 1997.</w:t>
            </w:r>
          </w:p>
        </w:tc>
        <w:tc>
          <w:tcPr/>
          <w:p>
            <w:pPr>
              <w:pStyle w:val="Compact"/>
              <w:jc w:val="left"/>
            </w:pPr>
            <w:r>
              <w:t xml:space="preserve">1</w:t>
            </w:r>
          </w:p>
        </w:tc>
        <w:tc>
          <w:tcPr/>
          <w:p>
            <w:pPr>
              <w:pStyle w:val="Compact"/>
              <w:jc w:val="left"/>
            </w:pPr>
            <w:r>
              <w:t xml:space="preserve">220,000.00</w:t>
            </w:r>
          </w:p>
        </w:tc>
        <w:tc>
          <w:tcPr/>
          <w:p>
            <w:pPr>
              <w:pStyle w:val="Compact"/>
              <w:jc w:val="left"/>
            </w:pPr>
            <w:r>
              <w:t xml:space="preserve">220,000.00</w:t>
            </w:r>
          </w:p>
        </w:tc>
      </w:tr>
      <w:tr>
        <w:tc>
          <w:tcPr/>
          <w:p>
            <w:pPr>
              <w:pStyle w:val="Compact"/>
              <w:jc w:val="left"/>
            </w:pPr>
            <w:r>
              <w:t xml:space="preserve">6</w:t>
            </w:r>
          </w:p>
        </w:tc>
        <w:tc>
          <w:tcPr/>
          <w:p>
            <w:pPr>
              <w:pStyle w:val="Compact"/>
              <w:jc w:val="left"/>
            </w:pPr>
            <w:r>
              <w:rPr>
                <w:bCs/>
                <w:b/>
              </w:rPr>
              <w:t xml:space="preserve">On-Site Engineering Supervision:</w:t>
            </w:r>
            <w:r>
              <w:t xml:space="preserve"> </w:t>
            </w:r>
            <w:r>
              <w:t xml:space="preserve">Chemical Engineer site supervision for 30 days during equipment installation and commissioning at Chittagong facility. Includes quality assurance, safety monitoring, and technical troubleshooting.</w:t>
            </w:r>
          </w:p>
        </w:tc>
        <w:tc>
          <w:tcPr/>
          <w:p>
            <w:pPr>
              <w:pStyle w:val="Compact"/>
              <w:jc w:val="left"/>
            </w:pPr>
            <w:r>
              <w:t xml:space="preserve">30</w:t>
            </w:r>
          </w:p>
        </w:tc>
        <w:tc>
          <w:tcPr/>
          <w:p>
            <w:pPr>
              <w:pStyle w:val="Compact"/>
              <w:jc w:val="left"/>
            </w:pPr>
            <w:r>
              <w:t xml:space="preserve">12,000.00</w:t>
            </w:r>
          </w:p>
        </w:tc>
        <w:tc>
          <w:tcPr/>
          <w:p>
            <w:pPr>
              <w:pStyle w:val="Compact"/>
              <w:jc w:val="left"/>
            </w:pPr>
            <w:r>
              <w:t xml:space="preserve">360,000.00</w:t>
            </w:r>
          </w:p>
        </w:tc>
      </w:tr>
      <w:tr>
        <w:tc>
          <w:tcPr/>
          <w:p>
            <w:pPr>
              <w:pStyle w:val="Compact"/>
              <w:jc w:val="left"/>
            </w:pPr>
            <w:r>
              <w:t xml:space="preserve">7</w:t>
            </w:r>
          </w:p>
        </w:tc>
        <w:tc>
          <w:tcPr/>
          <w:p>
            <w:pPr>
              <w:pStyle w:val="Compact"/>
              <w:jc w:val="left"/>
            </w:pPr>
            <w:r>
              <w:rPr>
                <w:bCs/>
                <w:b/>
              </w:rPr>
              <w:t xml:space="preserve">Training &amp; Documentation:</w:t>
            </w:r>
            <w:r>
              <w:t xml:space="preserve"> </w:t>
            </w:r>
            <w:r>
              <w:t xml:space="preserve">Comprehensive operator training program for chemical plant personnel including process control, emergency procedures, and maintenance protocols. Includes preparation of operation manuals and standard operating procedures (SOPs).</w:t>
            </w:r>
          </w:p>
        </w:tc>
        <w:tc>
          <w:tcPr/>
          <w:p>
            <w:pPr>
              <w:pStyle w:val="Compact"/>
              <w:jc w:val="left"/>
            </w:pPr>
            <w:r>
              <w:t xml:space="preserve">1</w:t>
            </w:r>
          </w:p>
        </w:tc>
        <w:tc>
          <w:tcPr/>
          <w:p>
            <w:pPr>
              <w:pStyle w:val="Compact"/>
              <w:jc w:val="left"/>
            </w:pPr>
            <w:r>
              <w:t xml:space="preserve">180,000.00</w:t>
            </w:r>
          </w:p>
        </w:tc>
        <w:tc>
          <w:tcPr/>
          <w:p>
            <w:pPr>
              <w:pStyle w:val="Compact"/>
              <w:jc w:val="left"/>
            </w:pPr>
            <w:r>
              <w:t xml:space="preserve">180,000.00</w:t>
            </w:r>
          </w:p>
        </w:tc>
      </w:tr>
    </w:tbl>
    <w:p>
      <w:pPr>
        <w:pStyle w:val="BodyText"/>
      </w:pPr>
      <w:r>
        <w:t xml:space="preserve">Subtotal:</w:t>
      </w:r>
      <w:r>
        <w:t xml:space="preserve"> </w:t>
      </w:r>
      <w:r>
        <w:t xml:space="preserve">BDT 2,700,000.00</w:t>
      </w:r>
    </w:p>
    <w:p>
      <w:pPr>
        <w:pStyle w:val="BodyText"/>
      </w:pPr>
      <w:r>
        <w:t xml:space="preserve">VAT (5% as per Bangladesh Tax Law):</w:t>
      </w:r>
      <w:r>
        <w:t xml:space="preserve"> </w:t>
      </w:r>
      <w:r>
        <w:t xml:space="preserve">BDT 135,000.00</w:t>
      </w:r>
    </w:p>
    <w:p>
      <w:pPr>
        <w:pStyle w:val="BodyText"/>
      </w:pPr>
      <w:r>
        <w:t xml:space="preserve">Advance Tax (2%):</w:t>
      </w:r>
      <w:r>
        <w:t xml:space="preserve"> </w:t>
      </w:r>
      <w:r>
        <w:t xml:space="preserve">BDT 54,000.00</w:t>
      </w:r>
    </w:p>
    <w:p>
      <w:pPr>
        <w:pStyle w:val="BodyText"/>
      </w:pPr>
      <w:r>
        <w:t xml:space="preserve">Total Amount Due:</w:t>
      </w:r>
      <w:r>
        <w:t xml:space="preserve"> </w:t>
      </w:r>
      <w:r>
        <w:t xml:space="preserve">BDT 2,889,000.00</w:t>
      </w:r>
    </w:p>
    <w:p>
      <w:pPr>
        <w:pStyle w:val="BodyText"/>
      </w:pPr>
      <w:r>
        <w:t xml:space="preserve">Amount in words: Two Million Eight Hundred Eighty-Nine Thousand Taka Only</w:t>
      </w:r>
    </w:p>
    <w:bookmarkStart w:id="23" w:name="payment-instructions"/>
    <w:p>
      <w:pPr>
        <w:pStyle w:val="Heading4"/>
      </w:pPr>
      <w:r>
        <w:t xml:space="preserve">Payment Instructions:</w:t>
      </w:r>
    </w:p>
    <w:p>
      <w:pPr>
        <w:pStyle w:val="FirstParagraph"/>
      </w:pPr>
      <w:r>
        <w:t xml:space="preserve">Please make payment via bank transfer to the following account:</w:t>
      </w:r>
    </w:p>
    <w:p>
      <w:pPr>
        <w:pStyle w:val="BodyText"/>
      </w:pPr>
      <w:r>
        <w:rPr>
          <w:bCs/>
          <w:b/>
        </w:rPr>
        <w:t xml:space="preserve">Bank:</w:t>
      </w:r>
      <w:r>
        <w:t xml:space="preserve"> </w:t>
      </w:r>
      <w:r>
        <w:t xml:space="preserve">Sonali Bank PLC</w:t>
      </w:r>
      <w:r>
        <w:br/>
      </w:r>
      <w:r>
        <w:rPr>
          <w:bCs/>
          <w:b/>
        </w:rPr>
        <w:t xml:space="preserve">Branch:</w:t>
      </w:r>
      <w:r>
        <w:t xml:space="preserve"> </w:t>
      </w:r>
      <w:r>
        <w:t xml:space="preserve">Uttara Branch, Dhaka</w:t>
      </w:r>
      <w:r>
        <w:br/>
      </w:r>
      <w:r>
        <w:rPr>
          <w:bCs/>
          <w:b/>
        </w:rPr>
        <w:t xml:space="preserve">Account Name:</w:t>
      </w:r>
      <w:r>
        <w:t xml:space="preserve"> </w:t>
      </w:r>
      <w:r>
        <w:t xml:space="preserve">Apex Chemical Engineering Solutions Ltd.</w:t>
      </w:r>
      <w:r>
        <w:br/>
      </w:r>
      <w:r>
        <w:rPr>
          <w:bCs/>
          <w:b/>
        </w:rPr>
        <w:t xml:space="preserve">Account Number:</w:t>
      </w:r>
      <w:r>
        <w:t xml:space="preserve"> </w:t>
      </w:r>
      <w:r>
        <w:t xml:space="preserve">1234567890</w:t>
      </w:r>
      <w:r>
        <w:br/>
      </w:r>
      <w:r>
        <w:rPr>
          <w:bCs/>
          <w:b/>
        </w:rPr>
        <w:t xml:space="preserve">Routing Number:</w:t>
      </w:r>
      <w:r>
        <w:t xml:space="preserve"> </w:t>
      </w:r>
      <w:r>
        <w:t xml:space="preserve">0111010000123</w:t>
      </w:r>
    </w:p>
    <w:bookmarkEnd w:id="23"/>
    <w:bookmarkStart w:id="24" w:name="terms-and-conditions"/>
    <w:p>
      <w:pPr>
        <w:pStyle w:val="Heading4"/>
      </w:pPr>
      <w:r>
        <w:t xml:space="preserve">Terms and Conditions:</w:t>
      </w:r>
    </w:p>
    <w:p>
      <w:pPr>
        <w:pStyle w:val="FirstParagraph"/>
      </w:pPr>
      <w:r>
        <w:t xml:space="preserve">1. This invoice is issued in accordance with the Bangladesh National Board of Revenue (NBR) regulations.</w:t>
      </w:r>
      <w:r>
        <w:br/>
      </w:r>
      <w:r>
        <w:t xml:space="preserve">2. All chemical engineering services are guaranteed to meet international standards and Bangladesh regulatory requirements.</w:t>
      </w:r>
      <w:r>
        <w:br/>
      </w:r>
      <w:r>
        <w:t xml:space="preserve">3. Payment is due within 30 days of invoice date. Late payments will incur interest at 2% per month.</w:t>
      </w:r>
      <w:r>
        <w:br/>
      </w:r>
      <w:r>
        <w:t xml:space="preserve">4. All intellectual property rights for designs and documentation remain with Apex Chemical Engineering Solutions Ltd. until full payment is received.</w:t>
      </w:r>
      <w:r>
        <w:br/>
      </w:r>
      <w:r>
        <w:t xml:space="preserve">5. This invoice is valid for services rendered in Dhaka, Bangladesh and surrounding areas as specified in our service agreement dated October 1, 2024.</w:t>
      </w:r>
      <w:r>
        <w:br/>
      </w:r>
      <w:r>
        <w:t xml:space="preserve">6. Any disputes will be resolved through arbitration in Dhaka, Bangladesh in accordance with Bangladesh law.</w:t>
      </w:r>
    </w:p>
    <w:bookmarkEnd w:id="24"/>
    <w:bookmarkStart w:id="25" w:name="authorized-signature"/>
    <w:p>
      <w:pPr>
        <w:pStyle w:val="Heading4"/>
      </w:pPr>
      <w:r>
        <w:t xml:space="preserve">Authorized Signature:</w:t>
      </w:r>
    </w:p>
    <w:p>
      <w:pPr>
        <w:pStyle w:val="FirstParagraph"/>
      </w:pPr>
      <w:r>
        <w:t xml:space="preserve">___________________________</w:t>
      </w:r>
      <w:r>
        <w:br/>
      </w:r>
      <w:r>
        <w:rPr>
          <w:bCs/>
          <w:b/>
        </w:rPr>
        <w:t xml:space="preserve">Engr. Mohammad Rahman</w:t>
      </w:r>
      <w:r>
        <w:br/>
      </w:r>
      <w:r>
        <w:t xml:space="preserve">Chief Chemical Engineer</w:t>
      </w:r>
      <w:r>
        <w:br/>
      </w:r>
      <w:r>
        <w:t xml:space="preserve">Apex Chemical Engineering Solutions Ltd.</w:t>
      </w:r>
      <w:r>
        <w:br/>
      </w:r>
      <w:r>
        <w:t xml:space="preserve">Bangladesh Engineering Council Registration No.: B-12345</w:t>
      </w:r>
    </w:p>
    <w:bookmarkEnd w:id="25"/>
    <w:p>
      <w:pPr>
        <w:pStyle w:val="BodyText"/>
      </w:pPr>
      <w:r>
        <w:t xml:space="preserve">Apex Chemical Engineering Solutions Ltd. | Plot No. 45, Sector 12, Uttara Industrial Area, Dhaka-1230, Bangladesh</w:t>
      </w:r>
      <w:r>
        <w:br/>
      </w:r>
      <w:r>
        <w:t xml:space="preserve">Registered Office: House 15, Road 8, Dhanmondi, Dhaka-1205 | VAT Registration: 123456789012</w:t>
      </w:r>
      <w:r>
        <w:br/>
      </w:r>
      <w:r>
        <w:t xml:space="preserve">This is a computer-generated invoice and does not require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Chemical Engineering Services</dc:title>
  <dc:creator/>
  <dc:language>en</dc:language>
  <cp:keywords/>
  <dcterms:created xsi:type="dcterms:W3CDTF">2026-10-10T08:41:20Z</dcterms:created>
  <dcterms:modified xsi:type="dcterms:W3CDTF">2026-10-10T08:41:20Z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