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brussels-chemical-solutions"/>
    <w:p>
      <w:pPr>
        <w:pStyle w:val="Heading1"/>
      </w:pPr>
      <w:r>
        <w:t xml:space="preserve">Brussels Chemical Solutions</w:t>
      </w:r>
    </w:p>
    <w:p>
      <w:pPr>
        <w:pStyle w:val="FirstParagraph"/>
      </w:pPr>
      <w:r>
        <w:t xml:space="preserve">Advanced Process Engineering &amp; Consulting</w:t>
      </w:r>
      <w:r>
        <w:br/>
      </w:r>
      <w:r>
        <w:t xml:space="preserve">Avenue Louise 250, 1050 Brussels, Belgium</w:t>
      </w:r>
      <w:r>
        <w:br/>
      </w:r>
      <w:r>
        <w:t xml:space="preserve">VAT ID: BE 0876.543.210</w:t>
      </w:r>
      <w:r>
        <w:br/>
      </w:r>
      <w:r>
        <w:t xml:space="preserve">Email: billing@brusselschemsol.be</w:t>
      </w:r>
    </w:p>
    <w:bookmarkEnd w:id="20"/>
    <w:bookmarkStart w:id="21" w:name="invoice"/>
    <w:p>
      <w:pPr>
        <w:pStyle w:val="Heading2"/>
      </w:pPr>
      <w:r>
        <w:t xml:space="preserve">INVOICE</w:t>
      </w:r>
    </w:p>
    <w:p>
      <w:pPr>
        <w:pStyle w:val="FirstParagraph"/>
      </w:pPr>
      <w:r>
        <w:t xml:space="preserve">Professional Chemical Engineering Services</w:t>
      </w:r>
    </w:p>
    <w:bookmarkEnd w:id="21"/>
    <w:bookmarkStart w:id="22" w:name="from-service-provider"/>
    <w:p>
      <w:pPr>
        <w:pStyle w:val="Heading3"/>
      </w:pPr>
      <w:r>
        <w:t xml:space="preserve">From (Service Provider)</w:t>
      </w:r>
    </w:p>
    <w:p>
      <w:pPr>
        <w:pStyle w:val="FirstParagraph"/>
      </w:pPr>
      <w:r>
        <w:rPr>
          <w:bCs/>
          <w:b/>
        </w:rPr>
        <w:t xml:space="preserve">Dr. Elias Van Houtte, Chemical Engineer</w:t>
      </w:r>
      <w:r>
        <w:br/>
      </w:r>
      <w:r>
        <w:t xml:space="preserve">Senior Process Consultant</w:t>
      </w:r>
      <w:r>
        <w:br/>
      </w:r>
      <w:r>
        <w:t xml:space="preserve">Brussels Chemical Solutions</w:t>
      </w:r>
      <w:r>
        <w:br/>
      </w:r>
      <w:r>
        <w:t xml:space="preserve">Avenue Louise 250</w:t>
      </w:r>
      <w:r>
        <w:br/>
      </w:r>
      <w:r>
        <w:t xml:space="preserve">1050 Brussels, Belgium</w:t>
      </w:r>
    </w:p>
    <w:bookmarkEnd w:id="22"/>
    <w:bookmarkStart w:id="23" w:name="bill-to-client"/>
    <w:p>
      <w:pPr>
        <w:pStyle w:val="Heading3"/>
      </w:pPr>
      <w:r>
        <w:t xml:space="preserve">Bill To (Client)</w:t>
      </w:r>
    </w:p>
    <w:p>
      <w:pPr>
        <w:pStyle w:val="FirstParagraph"/>
      </w:pPr>
      <w:r>
        <w:rPr>
          <w:bCs/>
          <w:b/>
        </w:rPr>
        <w:t xml:space="preserve">Nordic Pharma Industries NV</w:t>
      </w:r>
      <w:r>
        <w:br/>
      </w:r>
      <w:r>
        <w:t xml:space="preserve">Attn: Procurement Department</w:t>
      </w:r>
      <w:r>
        <w:br/>
      </w:r>
      <w:r>
        <w:t xml:space="preserve">Rue de la Loi 155</w:t>
      </w:r>
      <w:r>
        <w:br/>
      </w:r>
      <w:r>
        <w:t xml:space="preserve">1040 Brussels, Belgium</w:t>
      </w:r>
      <w:r>
        <w:br/>
      </w:r>
      <w:r>
        <w:t xml:space="preserve">VAT ID: BE 0123.456.789</w:t>
      </w:r>
    </w:p>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INV-2023-10-045</w:t>
            </w:r>
          </w:p>
        </w:tc>
      </w:tr>
      <w:tr>
        <w:tc>
          <w:tcPr/>
          <w:p>
            <w:pPr>
              <w:pStyle w:val="Compact"/>
              <w:jc w:val="left"/>
            </w:pPr>
            <w:r>
              <w:t xml:space="preserve">Date of Issue:</w:t>
            </w:r>
          </w:p>
        </w:tc>
        <w:tc>
          <w:tcPr/>
          <w:p>
            <w:pPr>
              <w:pStyle w:val="Compact"/>
              <w:jc w:val="left"/>
            </w:pPr>
            <w:r>
              <w:t xml:space="preserve">October 24, 2023</w:t>
            </w:r>
          </w:p>
        </w:tc>
      </w:tr>
      <w:tr>
        <w:tc>
          <w:tcPr/>
          <w:p>
            <w:pPr>
              <w:pStyle w:val="Compact"/>
              <w:jc w:val="left"/>
            </w:pPr>
            <w:r>
              <w:t xml:space="preserve">Due Date:</w:t>
            </w:r>
          </w:p>
        </w:tc>
        <w:tc>
          <w:tcPr/>
          <w:p>
            <w:pPr>
              <w:pStyle w:val="Compact"/>
              <w:jc w:val="left"/>
            </w:pPr>
            <w:r>
              <w:t xml:space="preserve">November 23, 2023</w:t>
            </w:r>
          </w:p>
        </w:tc>
      </w:tr>
      <w:tr>
        <w:tc>
          <w:tcPr/>
          <w:p>
            <w:pPr>
              <w:pStyle w:val="Compact"/>
              <w:jc w:val="left"/>
            </w:pPr>
            <w:r>
              <w:t xml:space="preserve">Project Reference:</w:t>
            </w:r>
          </w:p>
        </w:tc>
        <w:tc>
          <w:tcPr/>
          <w:p>
            <w:pPr>
              <w:pStyle w:val="Compact"/>
              <w:jc w:val="left"/>
            </w:pPr>
            <w:r>
              <w:t xml:space="preserve">BRU-CHEM-REACTOR-OPT</w:t>
            </w:r>
          </w:p>
        </w:tc>
      </w:tr>
    </w:tbl>
    <w:bookmarkStart w:id="24" w:name="Xff01c39d606a429ab3a1d5e97deb2e7c0a16156"/>
    <w:p>
      <w:pPr>
        <w:pStyle w:val="Heading3"/>
      </w:pPr>
      <w:r>
        <w:t xml:space="preserve">Project Overview: Reactor Optimization &amp; Safety Compliance</w:t>
      </w:r>
    </w:p>
    <w:p>
      <w:pPr>
        <w:pStyle w:val="FirstParagraph"/>
      </w:pPr>
      <w:r>
        <w:t xml:space="preserve">This invoice covers the professional services rendered by a certified Chemical Engineer regarding the optimization of the continuous stirred-tank reactor (CSTR) systems located at your facility in the Brussels-Capital Region. The scope of work included a comprehensive thermodynamic analysis, fluid dynamics simulation, and a detailed review of safety protocols in accordance with Belgian industrial regulations and EU directives.</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Chemical Engineering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Process Simulation &amp; Modeling:</w:t>
            </w:r>
            <w:r>
              <w:br/>
            </w:r>
            <w:r>
              <w:t xml:space="preserve">Utilization of Aspen Plus and HYSYS software to model current reactor efficiency. Analysis of heat transfer coefficients and mass balance discrepancies within the production line.</w:t>
            </w:r>
          </w:p>
        </w:tc>
        <w:tc>
          <w:tcPr/>
          <w:p>
            <w:pPr>
              <w:pStyle w:val="Compact"/>
              <w:jc w:val="left"/>
            </w:pPr>
            <w:r>
              <w:t xml:space="preserve">16 Hours</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2</w:t>
            </w:r>
          </w:p>
        </w:tc>
        <w:tc>
          <w:tcPr/>
          <w:p>
            <w:pPr>
              <w:pStyle w:val="Compact"/>
              <w:jc w:val="left"/>
            </w:pPr>
            <w:r>
              <w:rPr>
                <w:bCs/>
                <w:b/>
              </w:rPr>
              <w:t xml:space="preserve">On-Site Safety Audit (Brussels Facility):</w:t>
            </w:r>
            <w:r>
              <w:br/>
            </w:r>
            <w:r>
              <w:t xml:space="preserve">Physical inspection of pressure vessels and piping systems. Verification of compliance with the Belgian Royal Decree on the protection of workers against risks related to explosive atmospheres (ATEX).</w:t>
            </w:r>
          </w:p>
        </w:tc>
        <w:tc>
          <w:tcPr/>
          <w:p>
            <w:pPr>
              <w:pStyle w:val="Compact"/>
              <w:jc w:val="left"/>
            </w:pPr>
            <w:r>
              <w:t xml:space="preserve">8 Hours</w:t>
            </w:r>
          </w:p>
        </w:tc>
        <w:tc>
          <w:tcPr/>
          <w:p>
            <w:pPr>
              <w:pStyle w:val="Compact"/>
              <w:jc w:val="left"/>
            </w:pPr>
            <w:r>
              <w:t xml:space="preserve">175.00</w:t>
            </w:r>
          </w:p>
        </w:tc>
        <w:tc>
          <w:tcPr/>
          <w:p>
            <w:pPr>
              <w:pStyle w:val="Compact"/>
              <w:jc w:val="left"/>
            </w:pPr>
            <w:r>
              <w:t xml:space="preserve">1,400.00</w:t>
            </w:r>
          </w:p>
        </w:tc>
      </w:tr>
      <w:tr>
        <w:tc>
          <w:tcPr/>
          <w:p>
            <w:pPr>
              <w:pStyle w:val="Compact"/>
              <w:jc w:val="left"/>
            </w:pPr>
            <w:r>
              <w:t xml:space="preserve">3</w:t>
            </w:r>
          </w:p>
        </w:tc>
        <w:tc>
          <w:tcPr/>
          <w:p>
            <w:pPr>
              <w:pStyle w:val="Compact"/>
              <w:jc w:val="left"/>
            </w:pPr>
            <w:r>
              <w:rPr>
                <w:bCs/>
                <w:b/>
              </w:rPr>
              <w:t xml:space="preserve">Waste Stream Analysis &amp; Treatment Proposal:</w:t>
            </w:r>
            <w:r>
              <w:br/>
            </w:r>
            <w:r>
              <w:t xml:space="preserve">Chemical analysis of effluent streams to propose a cost-effective neutralization process. Development of a flowchart for the new wastewater treatment unit to meet Brussels Environment standards.</w:t>
            </w:r>
          </w:p>
        </w:tc>
        <w:tc>
          <w:tcPr/>
          <w:p>
            <w:pPr>
              <w:pStyle w:val="Compact"/>
              <w:jc w:val="left"/>
            </w:pPr>
            <w:r>
              <w:t xml:space="preserve">12 Hours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Technical Reporting &amp; Consultation:</w:t>
            </w:r>
            <w:r>
              <w:br/>
            </w:r>
            <w:r>
              <w:t xml:space="preserve">Compilation of findings into a comprehensive technical report. Presentation of optimization strategies to the engineering management team in Brussels.</w:t>
            </w:r>
          </w:p>
        </w:tc>
        <w:tc>
          <w:tcPr/>
          <w:p>
            <w:pPr>
              <w:pStyle w:val="Compact"/>
              <w:jc w:val="left"/>
            </w:pPr>
            <w:r>
              <w:t xml:space="preserve">4 Hours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5</w:t>
            </w:r>
          </w:p>
        </w:tc>
        <w:tc>
          <w:tcPr/>
          <w:p>
            <w:pPr>
              <w:pStyle w:val="Compact"/>
              <w:jc w:val="left"/>
            </w:pPr>
            <w:r>
              <w:rPr>
                <w:bCs/>
                <w:b/>
              </w:rPr>
              <w:t xml:space="preserve">Software Licensing Fees:</w:t>
            </w:r>
            <w:r>
              <w:br/>
            </w:r>
            <w:r>
              <w:t xml:space="preserve">Temporary license fees for specialized chemical engineering simulation software used during the project duration.</w:t>
            </w:r>
          </w:p>
        </w:tc>
        <w:tc>
          <w:tcPr/>
          <w:p>
            <w:pPr>
              <w:pStyle w:val="Compact"/>
              <w:jc w:val="left"/>
            </w:pPr>
            <w:r>
              <w:t xml:space="preserve">1 Unit</w:t>
            </w:r>
          </w:p>
        </w:tc>
        <w:tc>
          <w:tcPr/>
          <w:p>
            <w:pPr>
              <w:pStyle w:val="Compact"/>
              <w:jc w:val="left"/>
            </w:pPr>
            <w:r>
              <w:t xml:space="preserve">500.00</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6,700.00 EUR</w:t>
            </w:r>
          </w:p>
        </w:tc>
      </w:tr>
      <w:tr>
        <w:tc>
          <w:tcPr/>
          <w:p>
            <w:pPr>
              <w:pStyle w:val="Compact"/>
              <w:jc w:val="left"/>
            </w:pPr>
            <w:r>
              <w:t xml:space="preserve">VAT (21% - Standard Rate Belgium):</w:t>
            </w:r>
          </w:p>
        </w:tc>
        <w:tc>
          <w:tcPr/>
          <w:p>
            <w:pPr>
              <w:pStyle w:val="Compact"/>
              <w:jc w:val="left"/>
            </w:pPr>
            <w:r>
              <w:t xml:space="preserve">1,407.00 EUR</w:t>
            </w:r>
          </w:p>
        </w:tc>
      </w:tr>
      <w:tr>
        <w:tc>
          <w:tcPr/>
          <w:p>
            <w:pPr>
              <w:pStyle w:val="Compact"/>
              <w:jc w:val="left"/>
            </w:pPr>
            <w:r>
              <w:t xml:space="preserve">TOTAL AMOUNT DUE:</w:t>
            </w:r>
          </w:p>
        </w:tc>
        <w:tc>
          <w:tcPr/>
          <w:p>
            <w:pPr>
              <w:pStyle w:val="Compact"/>
              <w:jc w:val="left"/>
            </w:pPr>
            <w:r>
              <w:t xml:space="preserve">8,107.00 EUR</w:t>
            </w:r>
          </w:p>
        </w:tc>
      </w:tr>
    </w:tbl>
    <w:bookmarkStart w:id="25" w:name="payment-instructions"/>
    <w:p>
      <w:pPr>
        <w:pStyle w:val="Heading4"/>
      </w:pPr>
      <w:r>
        <w:t xml:space="preserve">Payment Instructions</w:t>
      </w:r>
    </w:p>
    <w:p>
      <w:pPr>
        <w:pStyle w:val="FirstParagraph"/>
      </w:pPr>
      <w:r>
        <w:t xml:space="preserve">Please transfer the total amount of</w:t>
      </w:r>
      <w:r>
        <w:t xml:space="preserve"> </w:t>
      </w:r>
      <w:r>
        <w:rPr>
          <w:bCs/>
          <w:b/>
        </w:rPr>
        <w:t xml:space="preserve">8,107.00 EUR</w:t>
      </w:r>
      <w:r>
        <w:t xml:space="preserve"> </w:t>
      </w:r>
      <w:r>
        <w:t xml:space="preserve">to the following bank account within 30 days of the invoice date.</w:t>
      </w:r>
    </w:p>
    <w:p>
      <w:pPr>
        <w:pStyle w:val="BodyText"/>
      </w:pPr>
      <w:r>
        <w:rPr>
          <w:bCs/>
          <w:b/>
        </w:rPr>
        <w:t xml:space="preserve">Bank Name:</w:t>
      </w:r>
      <w:r>
        <w:t xml:space="preserve"> </w:t>
      </w:r>
      <w:r>
        <w:t xml:space="preserve">KBC Bank</w:t>
      </w:r>
      <w:r>
        <w:br/>
      </w:r>
      <w:r>
        <w:rPr>
          <w:bCs/>
          <w:b/>
        </w:rPr>
        <w:t xml:space="preserve">Account Holder:</w:t>
      </w:r>
      <w:r>
        <w:t xml:space="preserve"> </w:t>
      </w:r>
      <w:r>
        <w:t xml:space="preserve">Brussels Chemical Solutions</w:t>
      </w:r>
      <w:r>
        <w:br/>
      </w:r>
      <w:r>
        <w:rPr>
          <w:bCs/>
          <w:b/>
        </w:rPr>
        <w:t xml:space="preserve">IBAN:</w:t>
      </w:r>
      <w:r>
        <w:t xml:space="preserve"> </w:t>
      </w:r>
      <w:r>
        <w:t xml:space="preserve">BE68 5390 0754 7034</w:t>
      </w:r>
      <w:r>
        <w:br/>
      </w:r>
      <w:r>
        <w:rPr>
          <w:bCs/>
          <w:b/>
        </w:rPr>
        <w:t xml:space="preserve">BIC/SWIFT:</w:t>
      </w:r>
      <w:r>
        <w:t xml:space="preserve"> </w:t>
      </w:r>
      <w:r>
        <w:t xml:space="preserve">KREDBEBB</w:t>
      </w:r>
      <w:r>
        <w:br/>
      </w:r>
      <w:r>
        <w:rPr>
          <w:bCs/>
          <w:b/>
        </w:rPr>
        <w:t xml:space="preserve">Reference:</w:t>
      </w:r>
      <w:r>
        <w:t xml:space="preserve"> </w:t>
      </w:r>
      <w:r>
        <w:t xml:space="preserve">INV-2023-10-045</w:t>
      </w:r>
    </w:p>
    <w:p>
      <w:pPr>
        <w:pStyle w:val="BodyText"/>
      </w:pPr>
      <w:r>
        <w:t xml:space="preserve">Late payments will be subject to statutory interest rates as defined by the Belgian Civil Code.</w:t>
      </w:r>
    </w:p>
    <w:bookmarkEnd w:id="25"/>
    <w:bookmarkStart w:id="26" w:name="terms-and-conditions-legal-compliance"/>
    <w:p>
      <w:pPr>
        <w:pStyle w:val="Heading4"/>
      </w:pPr>
      <w:r>
        <w:t xml:space="preserve">Terms and Conditions &amp; Legal Compliance</w:t>
      </w:r>
    </w:p>
    <w:p>
      <w:pPr>
        <w:pStyle w:val="FirstParagraph"/>
      </w:pPr>
      <w:r>
        <w:t xml:space="preserve">This invoice is issued in accordance with the Belgian Code of Economic Law (Book 20: VAT). The services described herein were performed by a qualified Chemical Engineer specializing in process optimization and industrial safety. All engineering calculations and safety assessments provided in the associated technical report are based on the data supplied by the client and standard industry practices applicable in Brussels and the European Union.</w:t>
      </w:r>
    </w:p>
    <w:p>
      <w:pPr>
        <w:pStyle w:val="BodyText"/>
      </w:pPr>
      <w:r>
        <w:t xml:space="preserve">The Chemical Engineer retains the right to intellectual property regarding specific proprietary simulation models used during the analysis, though the client is granted a perpetual license to use the results for their internal operations. Any liability for damages resulting from the implementation of recommendations is limited to the total value of this invoice, provided that the client follows the engineering specifications exactly as outlined.</w:t>
      </w:r>
    </w:p>
    <w:p>
      <w:pPr>
        <w:pStyle w:val="BodyText"/>
      </w:pPr>
      <w:r>
        <w:t xml:space="preserve">This document serves as a formal request for payment for professional services rendered. By accepting the services, the client agrees to the terms outlined above. For any disputes regarding this invoice, the courts of Brussels shall have exclusive jurisdiction.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2026-10-10T06:42:24Z</dcterms:created>
  <dcterms:modified xsi:type="dcterms:W3CDTF">2026-10-10T06:42:24Z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