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chimietech-solutions"/>
    <w:p>
      <w:pPr>
        <w:pStyle w:val="Heading1"/>
      </w:pPr>
      <w:r>
        <w:t xml:space="preserve">ChimieTech Solutions</w:t>
      </w:r>
    </w:p>
    <w:p>
      <w:pPr>
        <w:pStyle w:val="FirstParagraph"/>
      </w:pPr>
      <w:r>
        <w:t xml:space="preserve">Expert Chemical Engineering Consultancy</w:t>
      </w:r>
    </w:p>
    <w:p>
      <w:pPr>
        <w:pStyle w:val="BodyText"/>
      </w:pPr>
      <w:r>
        <w:t xml:space="preserve">12 Avenue de la République</w:t>
      </w:r>
    </w:p>
    <w:p>
      <w:pPr>
        <w:pStyle w:val="BodyText"/>
      </w:pPr>
      <w:r>
        <w:t xml:space="preserve">75011 Paris, France</w:t>
      </w:r>
    </w:p>
    <w:p>
      <w:pPr>
        <w:pStyle w:val="BodyText"/>
      </w:pPr>
      <w:r>
        <w:t xml:space="preserve">SIRET: 892 100 456 00012</w:t>
      </w:r>
    </w:p>
    <w:p>
      <w:pPr>
        <w:pStyle w:val="BodyText"/>
      </w:pPr>
      <w:r>
        <w:t xml:space="preserve">TVA Intracommunautaire: FR 12 892100456</w:t>
      </w:r>
    </w:p>
    <w:p>
      <w:pPr>
        <w:pStyle w:val="BodyText"/>
      </w:pPr>
      <w:r>
        <w:t xml:space="preserve">Email: billing@chimietech-solutions.fr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INV-2023-10-884</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PharmaCorp Europe S.A.S.</w:t>
      </w:r>
    </w:p>
    <w:p>
      <w:pPr>
        <w:pStyle w:val="BodyText"/>
      </w:pPr>
      <w:r>
        <w:t xml:space="preserve">Attn: Procurement Department</w:t>
      </w:r>
    </w:p>
    <w:p>
      <w:pPr>
        <w:pStyle w:val="BodyText"/>
      </w:pPr>
      <w:r>
        <w:t xml:space="preserve">45 Rue de la Paix</w:t>
      </w:r>
    </w:p>
    <w:p>
      <w:pPr>
        <w:pStyle w:val="BodyText"/>
      </w:pPr>
      <w:r>
        <w:t xml:space="preserve">75002 Paris, France</w:t>
      </w:r>
    </w:p>
    <w:p>
      <w:pPr>
        <w:pStyle w:val="BodyText"/>
      </w:pPr>
      <w:r>
        <w:t xml:space="preserve">SIRET: 445 678 901 00034</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rPr>
                <w:bCs/>
                <w:b/>
              </w:rPr>
              <w:t xml:space="preserve">Process Optimization &amp; Safety Audit</w:t>
            </w:r>
            <w:r>
              <w:br/>
            </w:r>
            <w:r>
              <w:t xml:space="preserve">Comprehensive analysis of the existing chemical reaction pathways within the Paris facility. This service includes a detailed review of thermodynamic efficiency, heat exchanger network optimization, and compliance with French industrial safety regulations (Code de l'environnement). The Chemical Engineer performed on-site assessments to identify bottlenecks in the distillation columns and proposed retrofitting solutions to enhance yield by 12%.</w:t>
            </w:r>
          </w:p>
        </w:tc>
        <w:tc>
          <w:tcPr/>
          <w:p>
            <w:pPr>
              <w:pStyle w:val="Compact"/>
              <w:jc w:val="left"/>
            </w:pPr>
            <w:r>
              <w:t xml:space="preserve">40 Hours</w:t>
            </w:r>
          </w:p>
        </w:tc>
        <w:tc>
          <w:tcPr/>
          <w:p>
            <w:pPr>
              <w:pStyle w:val="Compact"/>
              <w:jc w:val="left"/>
            </w:pPr>
            <w:r>
              <w:t xml:space="preserve">180.00</w:t>
            </w:r>
          </w:p>
        </w:tc>
        <w:tc>
          <w:tcPr/>
          <w:p>
            <w:pPr>
              <w:pStyle w:val="Compact"/>
              <w:jc w:val="left"/>
            </w:pPr>
            <w:r>
              <w:t xml:space="preserve">7,200.00</w:t>
            </w:r>
          </w:p>
        </w:tc>
      </w:tr>
      <w:tr>
        <w:tc>
          <w:tcPr/>
          <w:p>
            <w:pPr>
              <w:pStyle w:val="Compact"/>
              <w:jc w:val="left"/>
            </w:pPr>
            <w:r>
              <w:rPr>
                <w:bCs/>
                <w:b/>
              </w:rPr>
              <w:t xml:space="preserve">Scale-Up Engineering Design</w:t>
            </w:r>
            <w:r>
              <w:br/>
            </w:r>
            <w:r>
              <w:t xml:space="preserve">Development of technical specifications for scaling up the synthesis of active pharmaceutical ingredients from pilot plant to full production scale. This involves rigorous mass and energy balance calculations, reactor sizing, and fluid dynamics simulations (CFD) to ensure uniform mixing and temperature control. The design adheres to GMP standards required for pharmaceutical manufacturing in France.</w:t>
            </w:r>
          </w:p>
        </w:tc>
        <w:tc>
          <w:tcPr/>
          <w:p>
            <w:pPr>
              <w:pStyle w:val="Compact"/>
              <w:jc w:val="left"/>
            </w:pPr>
            <w:r>
              <w:t xml:space="preserve">60 Hours</w:t>
            </w:r>
          </w:p>
        </w:tc>
        <w:tc>
          <w:tcPr/>
          <w:p>
            <w:pPr>
              <w:pStyle w:val="Compact"/>
              <w:jc w:val="left"/>
            </w:pPr>
            <w:r>
              <w:t xml:space="preserve">195.00</w:t>
            </w:r>
          </w:p>
        </w:tc>
        <w:tc>
          <w:tcPr/>
          <w:p>
            <w:pPr>
              <w:pStyle w:val="Compact"/>
              <w:jc w:val="left"/>
            </w:pPr>
            <w:r>
              <w:t xml:space="preserve">11,700.00</w:t>
            </w:r>
          </w:p>
        </w:tc>
      </w:tr>
      <w:tr>
        <w:tc>
          <w:tcPr/>
          <w:p>
            <w:pPr>
              <w:pStyle w:val="Compact"/>
              <w:jc w:val="left"/>
            </w:pPr>
            <w:r>
              <w:rPr>
                <w:bCs/>
                <w:b/>
              </w:rPr>
              <w:t xml:space="preserve">Environmental Compliance &amp; Waste Management Strategy</w:t>
            </w:r>
            <w:r>
              <w:br/>
            </w:r>
            <w:r>
              <w:t xml:space="preserve">Consultation on the treatment of hazardous chemical waste streams generated during production. The Chemical Engineer designed a closed-loop solvent recovery system to minimize environmental impact and reduce raw material costs. This service ensures alignment with the European REACH regulation and local Parisian environmental directives regarding industrial emissions and effluent discharge.</w:t>
            </w:r>
          </w:p>
        </w:tc>
        <w:tc>
          <w:tcPr/>
          <w:p>
            <w:pPr>
              <w:pStyle w:val="Compact"/>
              <w:jc w:val="left"/>
            </w:pPr>
            <w:r>
              <w:t xml:space="preserve">25 Hours</w:t>
            </w:r>
          </w:p>
        </w:tc>
        <w:tc>
          <w:tcPr/>
          <w:p>
            <w:pPr>
              <w:pStyle w:val="Compact"/>
              <w:jc w:val="left"/>
            </w:pPr>
            <w:r>
              <w:t xml:space="preserve">175.00</w:t>
            </w:r>
          </w:p>
        </w:tc>
        <w:tc>
          <w:tcPr/>
          <w:p>
            <w:pPr>
              <w:pStyle w:val="Compact"/>
              <w:jc w:val="left"/>
            </w:pPr>
            <w:r>
              <w:t xml:space="preserve">4,375.00</w:t>
            </w:r>
          </w:p>
        </w:tc>
      </w:tr>
      <w:tr>
        <w:tc>
          <w:tcPr/>
          <w:p>
            <w:pPr>
              <w:pStyle w:val="Compact"/>
              <w:jc w:val="left"/>
            </w:pPr>
            <w:r>
              <w:rPr>
                <w:bCs/>
                <w:b/>
              </w:rPr>
              <w:t xml:space="preserve">Technical Reporting &amp; Regulatory Documentation</w:t>
            </w:r>
            <w:r>
              <w:br/>
            </w:r>
            <w:r>
              <w:t xml:space="preserve">Preparation of detailed engineering reports, P&amp;ID (Piping and Instrumentation Diagrams) updates, and safety data sheets (SDS) for new chemical compounds. This documentation is essential for regulatory submissions to French authorities and for internal operational training. Includes a final presentation to the executive board in Paris outlining the projected ROI of the proposed engineering changes.</w:t>
            </w:r>
          </w:p>
        </w:tc>
        <w:tc>
          <w:tcPr/>
          <w:p>
            <w:pPr>
              <w:pStyle w:val="Compact"/>
              <w:jc w:val="left"/>
            </w:pPr>
            <w:r>
              <w:t xml:space="preserve">15 Hours</w:t>
            </w:r>
          </w:p>
        </w:tc>
        <w:tc>
          <w:tcPr/>
          <w:p>
            <w:pPr>
              <w:pStyle w:val="Compact"/>
              <w:jc w:val="left"/>
            </w:pPr>
            <w:r>
              <w:t xml:space="preserve">160.00</w:t>
            </w:r>
          </w:p>
        </w:tc>
        <w:tc>
          <w:tcPr/>
          <w:p>
            <w:pPr>
              <w:pStyle w:val="Compact"/>
              <w:jc w:val="left"/>
            </w:pPr>
            <w:r>
              <w:t xml:space="preserve">2,400.00</w:t>
            </w:r>
          </w:p>
        </w:tc>
      </w:tr>
    </w:tbl>
    <w:p>
      <w:pPr>
        <w:pStyle w:val="BodyText"/>
      </w:pPr>
      <w:r>
        <w:t xml:space="preserve">Subtotal (HT)</w:t>
      </w:r>
      <w:r>
        <w:t xml:space="preserve"> </w:t>
      </w:r>
      <w:r>
        <w:t xml:space="preserve">25,675.00 EUR</w:t>
      </w:r>
    </w:p>
    <w:p>
      <w:pPr>
        <w:pStyle w:val="BodyText"/>
      </w:pPr>
      <w:r>
        <w:t xml:space="preserve">VAT (TVA) @ 20%</w:t>
      </w:r>
      <w:r>
        <w:t xml:space="preserve"> </w:t>
      </w:r>
      <w:r>
        <w:t xml:space="preserve">5,135.00 EUR</w:t>
      </w:r>
    </w:p>
    <w:p>
      <w:pPr>
        <w:pStyle w:val="BodyText"/>
      </w:pPr>
      <w:r>
        <w:t xml:space="preserve">Total Amount Due (TTC)</w:t>
      </w:r>
      <w:r>
        <w:t xml:space="preserve"> </w:t>
      </w:r>
      <w:r>
        <w:t xml:space="preserve">30,810.00 EUR</w:t>
      </w:r>
    </w:p>
    <w:bookmarkStart w:id="23" w:name="payment-instructions-notes"/>
    <w:p>
      <w:pPr>
        <w:pStyle w:val="Heading4"/>
      </w:pPr>
      <w:r>
        <w:t xml:space="preserve">Payment Instructions &amp; Notes:</w:t>
      </w:r>
    </w:p>
    <w:p>
      <w:pPr>
        <w:pStyle w:val="FirstParagraph"/>
      </w:pPr>
      <w:r>
        <w:t xml:space="preserve">Please make payment via bank transfer to the following account within 30 days of the invoice date. Late payments may incur a penalty interest rate of 3 times the legal interest rate, in accordance with French law.</w:t>
      </w:r>
    </w:p>
    <w:p>
      <w:pPr>
        <w:pStyle w:val="BodyText"/>
      </w:pPr>
      <w:r>
        <w:rPr>
          <w:bCs/>
          <w:b/>
        </w:rPr>
        <w:t xml:space="preserve">Bank Name:</w:t>
      </w:r>
      <w:r>
        <w:t xml:space="preserve"> </w:t>
      </w:r>
      <w:r>
        <w:t xml:space="preserve">BNP Paribas, Paris</w:t>
      </w:r>
    </w:p>
    <w:p>
      <w:pPr>
        <w:pStyle w:val="BodyText"/>
      </w:pPr>
      <w:r>
        <w:rPr>
          <w:bCs/>
          <w:b/>
        </w:rPr>
        <w:t xml:space="preserve">IBAN:</w:t>
      </w:r>
      <w:r>
        <w:t xml:space="preserve"> </w:t>
      </w:r>
      <w:r>
        <w:t xml:space="preserve">FR76 3000 4000 0100 0000 0000 123</w:t>
      </w:r>
    </w:p>
    <w:p>
      <w:pPr>
        <w:pStyle w:val="BodyText"/>
      </w:pPr>
      <w:r>
        <w:rPr>
          <w:bCs/>
          <w:b/>
        </w:rPr>
        <w:t xml:space="preserve">BIC/SWIFT:</w:t>
      </w:r>
      <w:r>
        <w:t xml:space="preserve"> </w:t>
      </w:r>
      <w:r>
        <w:t xml:space="preserve">BNPAFRPP</w:t>
      </w:r>
    </w:p>
    <w:p>
      <w:pPr>
        <w:pStyle w:val="BodyText"/>
      </w:pPr>
      <w:r>
        <w:rPr>
          <w:bCs/>
          <w:b/>
        </w:rPr>
        <w:t xml:space="preserve">Reference:</w:t>
      </w:r>
      <w:r>
        <w:t xml:space="preserve"> </w:t>
      </w:r>
      <w:r>
        <w:t xml:space="preserve">Please use Invoice Number INV-2023-10-884 as the payment reference.</w:t>
      </w:r>
    </w:p>
    <w:p>
      <w:pPr>
        <w:pStyle w:val="BodyText"/>
      </w:pPr>
      <w:r>
        <w:br/>
      </w:r>
    </w:p>
    <w:p>
      <w:pPr>
        <w:pStyle w:val="BodyText"/>
      </w:pPr>
      <w:r>
        <w:rPr>
          <w:bCs/>
          <w:b/>
        </w:rPr>
        <w:t xml:space="preserve">Service Context:</w:t>
      </w:r>
      <w:r>
        <w:t xml:space="preserve"> </w:t>
      </w:r>
      <w:r>
        <w:t xml:space="preserve">This invoice covers professional services rendered by a certified Chemical Engineer specializing in industrial process design and optimization. All work was conducted in compliance with the professional standards expected in the French engineering sector. The methodologies employed reflect current best practices in chemical engineering, ensuring safety, efficiency, and regulatory adherence for operations based in France Paris.</w:t>
      </w:r>
    </w:p>
    <w:bookmarkEnd w:id="23"/>
    <w:p>
      <w:pPr>
        <w:pStyle w:val="BodyText"/>
      </w:pPr>
      <w:r>
        <w:rPr>
          <w:bCs/>
          <w:b/>
        </w:rPr>
        <w:t xml:space="preserve">Authorized Signature:</w:t>
      </w:r>
    </w:p>
    <w:p>
      <w:pPr>
        <w:pStyle w:val="BodyText"/>
      </w:pPr>
      <w:r>
        <w:t xml:space="preserve">Dr. Jean-Pierre Dubois</w:t>
      </w:r>
    </w:p>
    <w:p>
      <w:pPr>
        <w:pStyle w:val="BodyText"/>
      </w:pPr>
      <w:r>
        <w:t xml:space="preserve">Senior Chemical Engineer</w:t>
      </w:r>
    </w:p>
    <w:p>
      <w:pPr>
        <w:pStyle w:val="BodyText"/>
      </w:pPr>
      <w:r>
        <w:rPr>
          <w:bCs/>
          <w:b/>
        </w:rPr>
        <w:t xml:space="preserve">Accepted By:</w:t>
      </w:r>
    </w:p>
    <w:p>
      <w:pPr>
        <w:pStyle w:val="BodyText"/>
      </w:pPr>
      <w:r>
        <w:t xml:space="preserve">__________________________</w:t>
      </w:r>
    </w:p>
    <w:p>
      <w:pPr>
        <w:pStyle w:val="BodyText"/>
      </w:pPr>
      <w:r>
        <w:t xml:space="preserve">PharmaCorp Europe S.A.S.</w:t>
      </w:r>
    </w:p>
    <w:p>
      <w:pPr>
        <w:pStyle w:val="BodyText"/>
      </w:pPr>
      <w:r>
        <w:t xml:space="preserve">ChimieTech Solutions | 12 Avenue de la République, 75011 Paris, France | +33 1 42 00 00 00</w:t>
      </w:r>
    </w:p>
    <w:p>
      <w:pPr>
        <w:pStyle w:val="BodyText"/>
      </w:pPr>
      <w:r>
        <w:t xml:space="preserve">This is a computer-generated invoice. No signature is required for validity.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2026-10-10T08:03:01Z</dcterms:created>
  <dcterms:modified xsi:type="dcterms:W3CDTF">2026-10-10T08:03:01Z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