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p>
    <w:bookmarkStart w:id="20" w:name="berlin-process-engineering-gmbh"/>
    <w:p>
      <w:pPr>
        <w:pStyle w:val="Heading1"/>
      </w:pPr>
      <w:r>
        <w:t xml:space="preserve">Berlin Process Engineering GmbH</w:t>
      </w:r>
    </w:p>
    <w:p>
      <w:pPr>
        <w:pStyle w:val="FirstParagraph"/>
      </w:pPr>
      <w:r>
        <w:t xml:space="preserve">Specialized Chemical Engineering Solutions</w:t>
      </w:r>
    </w:p>
    <w:p>
      <w:pPr>
        <w:pStyle w:val="BodyText"/>
      </w:pPr>
      <w:r>
        <w:t xml:space="preserve">Technoparkstraße 12</w:t>
      </w:r>
    </w:p>
    <w:p>
      <w:pPr>
        <w:pStyle w:val="BodyText"/>
      </w:pPr>
      <w:r>
        <w:t xml:space="preserve">12489 Berlin, Germany</w:t>
      </w:r>
    </w:p>
    <w:p>
      <w:pPr>
        <w:pStyle w:val="BodyText"/>
      </w:pPr>
      <w:r>
        <w:t xml:space="preserve">USt-IdNr.: DE123456789</w:t>
      </w:r>
    </w:p>
    <w:p>
      <w:pPr>
        <w:pStyle w:val="BodyText"/>
      </w:pPr>
      <w:r>
        <w:t xml:space="preserve">HRA 98765 (Amtsgericht Berlin-Charlottenburg)</w:t>
      </w:r>
    </w:p>
    <w:p>
      <w:pPr>
        <w:pStyle w:val="BodyText"/>
      </w:pPr>
      <w:r>
        <w:t xml:space="preserve">Bank: Deutsche Bank Berlin</w:t>
      </w:r>
    </w:p>
    <w:p>
      <w:pPr>
        <w:pStyle w:val="BodyText"/>
      </w:pPr>
      <w:r>
        <w:t xml:space="preserve">IBAN: DE89 3704 0044 0532 0130 00</w:t>
      </w:r>
    </w:p>
    <w:p>
      <w:pPr>
        <w:pStyle w:val="BodyText"/>
      </w:pPr>
      <w:r>
        <w:t xml:space="preserve">BIC: DEUTDEDBBER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INV-2023-10-042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w:t>
      </w:r>
      <w:r>
        <w:t xml:space="preserve"> </w:t>
      </w:r>
      <w:r>
        <w:t xml:space="preserve">BE-CHM-2023-09</w:t>
      </w:r>
    </w:p>
    <w:bookmarkEnd w:id="21"/>
    <w:bookmarkStart w:id="22" w:name="bill-to"/>
    <w:p>
      <w:pPr>
        <w:pStyle w:val="Heading3"/>
      </w:pPr>
      <w:r>
        <w:t xml:space="preserve">Bill To:</w:t>
      </w:r>
    </w:p>
    <w:p>
      <w:pPr>
        <w:pStyle w:val="FirstParagraph"/>
      </w:pPr>
      <w:r>
        <w:rPr>
          <w:bCs/>
          <w:b/>
        </w:rPr>
        <w:t xml:space="preserve">Advanced Pharma Solutions AG</w:t>
      </w:r>
    </w:p>
    <w:p>
      <w:pPr>
        <w:pStyle w:val="BodyText"/>
      </w:pPr>
      <w:r>
        <w:t xml:space="preserve">Attn: Procurement Department</w:t>
      </w:r>
    </w:p>
    <w:p>
      <w:pPr>
        <w:pStyle w:val="BodyText"/>
      </w:pPr>
      <w:r>
        <w:t xml:space="preserve">Industriestraße 45</w:t>
      </w:r>
    </w:p>
    <w:p>
      <w:pPr>
        <w:pStyle w:val="BodyText"/>
      </w:pPr>
      <w:r>
        <w:t xml:space="preserve">10317 Berlin, Germany</w:t>
      </w:r>
    </w:p>
    <w:p>
      <w:pPr>
        <w:pStyle w:val="BodyText"/>
      </w:pPr>
      <w:r>
        <w:t xml:space="preserve">USt-IdNr.: DE987654321</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rPr>
                <w:bCs/>
                <w:b/>
              </w:rPr>
              <w:t xml:space="preserve">Process Optimization Analysis</w:t>
            </w:r>
            <w:r>
              <w:br/>
            </w:r>
            <w:r>
              <w:t xml:space="preserve">Comprehensive audit of existing chemical reaction pathways for the synthesis of active pharmaceutical ingredients. This service includes thermodynamic modeling, kinetic analysis, and safety assessment of exothermic reactions within the Berlin facility.</w:t>
            </w:r>
          </w:p>
        </w:tc>
        <w:tc>
          <w:tcPr/>
          <w:p>
            <w:pPr>
              <w:pStyle w:val="Compact"/>
              <w:jc w:val="left"/>
            </w:pPr>
            <w:r>
              <w:t xml:space="preserve">40.00 hrs</w:t>
            </w:r>
          </w:p>
        </w:tc>
        <w:tc>
          <w:tcPr/>
          <w:p>
            <w:pPr>
              <w:pStyle w:val="Compact"/>
              <w:jc w:val="left"/>
            </w:pPr>
            <w:r>
              <w:t xml:space="preserve">180.00</w:t>
            </w:r>
          </w:p>
        </w:tc>
        <w:tc>
          <w:tcPr/>
          <w:p>
            <w:pPr>
              <w:pStyle w:val="Compact"/>
              <w:jc w:val="left"/>
            </w:pPr>
            <w:r>
              <w:t xml:space="preserve">7,200.00</w:t>
            </w:r>
          </w:p>
        </w:tc>
      </w:tr>
      <w:tr>
        <w:tc>
          <w:tcPr/>
          <w:p>
            <w:pPr>
              <w:pStyle w:val="Compact"/>
              <w:jc w:val="left"/>
            </w:pPr>
            <w:r>
              <w:rPr>
                <w:bCs/>
                <w:b/>
              </w:rPr>
              <w:t xml:space="preserve">Reactor Design &amp; Simulation</w:t>
            </w:r>
            <w:r>
              <w:br/>
            </w:r>
            <w:r>
              <w:t xml:space="preserve">Development of detailed P&amp;ID (Piping and Instrumentation Diagrams) for a new continuous stirred-tank reactor (CSTR). Includes CFD (Computational Fluid Dynamics) simulations to optimize mixing efficiency and heat transfer rates, ensuring compliance with German industrial safety standards (BImSchG).</w:t>
            </w:r>
          </w:p>
        </w:tc>
        <w:tc>
          <w:tcPr/>
          <w:p>
            <w:pPr>
              <w:pStyle w:val="Compact"/>
              <w:jc w:val="left"/>
            </w:pPr>
            <w:r>
              <w:t xml:space="preserve">60.00 hrs</w:t>
            </w:r>
          </w:p>
        </w:tc>
        <w:tc>
          <w:tcPr/>
          <w:p>
            <w:pPr>
              <w:pStyle w:val="Compact"/>
              <w:jc w:val="left"/>
            </w:pPr>
            <w:r>
              <w:t xml:space="preserve">195.00</w:t>
            </w:r>
          </w:p>
        </w:tc>
        <w:tc>
          <w:tcPr/>
          <w:p>
            <w:pPr>
              <w:pStyle w:val="Compact"/>
              <w:jc w:val="left"/>
            </w:pPr>
            <w:r>
              <w:t xml:space="preserve">11,700.00</w:t>
            </w:r>
          </w:p>
        </w:tc>
      </w:tr>
      <w:tr>
        <w:tc>
          <w:tcPr/>
          <w:p>
            <w:pPr>
              <w:pStyle w:val="Compact"/>
              <w:jc w:val="left"/>
            </w:pPr>
            <w:r>
              <w:rPr>
                <w:bCs/>
                <w:b/>
              </w:rPr>
              <w:t xml:space="preserve">Waste Stream Treatment Strategy</w:t>
            </w:r>
            <w:r>
              <w:br/>
            </w:r>
            <w:r>
              <w:t xml:space="preserve">Engineering consultation for the reduction of hazardous chemical waste output. Implementation of a closed-loop solvent recovery system design to minimize environmental impact and adhere to strict Berlin municipal environmental regulations.</w:t>
            </w:r>
          </w:p>
        </w:tc>
        <w:tc>
          <w:tcPr/>
          <w:p>
            <w:pPr>
              <w:pStyle w:val="Compact"/>
              <w:jc w:val="left"/>
            </w:pPr>
            <w:r>
              <w:t xml:space="preserve">25.00 hrs</w:t>
            </w:r>
          </w:p>
        </w:tc>
        <w:tc>
          <w:tcPr/>
          <w:p>
            <w:pPr>
              <w:pStyle w:val="Compact"/>
              <w:jc w:val="left"/>
            </w:pPr>
            <w:r>
              <w:t xml:space="preserve">180.00</w:t>
            </w:r>
          </w:p>
        </w:tc>
        <w:tc>
          <w:tcPr/>
          <w:p>
            <w:pPr>
              <w:pStyle w:val="Compact"/>
              <w:jc w:val="left"/>
            </w:pPr>
            <w:r>
              <w:t xml:space="preserve">4,500.00</w:t>
            </w:r>
          </w:p>
        </w:tc>
      </w:tr>
      <w:tr>
        <w:tc>
          <w:tcPr/>
          <w:p>
            <w:pPr>
              <w:pStyle w:val="Compact"/>
              <w:jc w:val="left"/>
            </w:pPr>
            <w:r>
              <w:rPr>
                <w:bCs/>
                <w:b/>
              </w:rPr>
              <w:t xml:space="preserve">Technical Reporting &amp; Documentation</w:t>
            </w:r>
            <w:r>
              <w:br/>
            </w:r>
            <w:r>
              <w:t xml:space="preserve">Preparation of final engineering reports, including material balance calculations, energy balance assessments, and risk analysis documentation required for regulatory approval in Germany.</w:t>
            </w:r>
          </w:p>
        </w:tc>
        <w:tc>
          <w:tcPr/>
          <w:p>
            <w:pPr>
              <w:pStyle w:val="Compact"/>
              <w:jc w:val="left"/>
            </w:pPr>
            <w:r>
              <w:t xml:space="preserve">15.00 hrs</w:t>
            </w:r>
          </w:p>
        </w:tc>
        <w:tc>
          <w:tcPr/>
          <w:p>
            <w:pPr>
              <w:pStyle w:val="Compact"/>
              <w:jc w:val="left"/>
            </w:pPr>
            <w:r>
              <w:t xml:space="preserve">150.00</w:t>
            </w:r>
          </w:p>
        </w:tc>
        <w:tc>
          <w:tcPr/>
          <w:p>
            <w:pPr>
              <w:pStyle w:val="Compact"/>
              <w:jc w:val="left"/>
            </w:pPr>
            <w:r>
              <w:t xml:space="preserve">2,250.00</w:t>
            </w:r>
          </w:p>
        </w:tc>
      </w:tr>
    </w:tbl>
    <w:p>
      <w:pPr>
        <w:pStyle w:val="BodyText"/>
      </w:pPr>
      <w:r>
        <w:t xml:space="preserve">Subtotal (Net):</w:t>
      </w:r>
      <w:r>
        <w:t xml:space="preserve"> </w:t>
      </w:r>
      <w:r>
        <w:t xml:space="preserve">25,650.00 EUR</w:t>
      </w:r>
    </w:p>
    <w:p>
      <w:pPr>
        <w:pStyle w:val="BodyText"/>
      </w:pPr>
      <w:r>
        <w:t xml:space="preserve">VAT (19%):</w:t>
      </w:r>
      <w:r>
        <w:t xml:space="preserve"> </w:t>
      </w:r>
      <w:r>
        <w:t xml:space="preserve">4,873.50 EUR</w:t>
      </w:r>
    </w:p>
    <w:p>
      <w:pPr>
        <w:pStyle w:val="BodyText"/>
      </w:pPr>
      <w:r>
        <w:t xml:space="preserve">Total Amount Due:</w:t>
      </w:r>
      <w:r>
        <w:t xml:space="preserve"> </w:t>
      </w:r>
      <w:r>
        <w:t xml:space="preserve">30,523.50 EUR</w:t>
      </w:r>
    </w:p>
    <w:bookmarkStart w:id="23" w:name="terms-and-conditions"/>
    <w:p>
      <w:pPr>
        <w:pStyle w:val="Heading4"/>
      </w:pPr>
      <w:r>
        <w:t xml:space="preserve">Terms and Conditions</w:t>
      </w:r>
    </w:p>
    <w:p>
      <w:pPr>
        <w:pStyle w:val="FirstParagraph"/>
      </w:pPr>
      <w:r>
        <w:t xml:space="preserve">1. Payment is due within 30 days of the invoice date. Please include the invoice number as the payment reference.</w:t>
      </w:r>
    </w:p>
    <w:p>
      <w:pPr>
        <w:pStyle w:val="BodyText"/>
      </w:pPr>
      <w:r>
        <w:t xml:space="preserve">2. Late payments will incur interest at the statutory rate applicable in Germany.</w:t>
      </w:r>
    </w:p>
    <w:p>
      <w:pPr>
        <w:pStyle w:val="BodyText"/>
      </w:pPr>
      <w:r>
        <w:t xml:space="preserve">3. All services provided are subject to the general terms and conditions of Berlin Process Engineering GmbH.</w:t>
      </w:r>
    </w:p>
    <w:p>
      <w:pPr>
        <w:pStyle w:val="BodyText"/>
      </w:pPr>
      <w:r>
        <w:t xml:space="preserve">4. This invoice is issued in accordance with German tax laws (UStG).</w:t>
      </w:r>
    </w:p>
    <w:bookmarkEnd w:id="23"/>
    <w:p>
      <w:pPr>
        <w:pStyle w:val="BodyText"/>
      </w:pPr>
      <w:r>
        <w:t xml:space="preserve">This document serves as a formal Invoice for professional services rendered by a qualified Chemical Engineer operating within the jurisdiction of Germany Berlin. The scope of work detailed herein reflects high-level engineering expertise, including but not limited to process design, safety engineering, and environmental compliance. All calculations and designs provided adhere to the rigorous standards expected in the German chemical industry. The client acknowledges receipt of these services and agrees to the terms outlined above. For any discrepancies regarding this Invoice, please contact our finance department immediately. This Invoice is valid for tax purposes and includes the necessary USt-IdNr. for intra-community transactions if applicable. The services described contribute to the advancement of chemical processing efficiency and safety within the Berlin industrial sector.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dc:title>
  <dc:creator/>
  <dc:language>en</dc:language>
  <cp:keywords/>
  <dcterms:created xsi:type="dcterms:W3CDTF">2026-10-10T06:10:35Z</dcterms:created>
  <dcterms:modified xsi:type="dcterms:W3CDTF">2026-10-10T06:10:35Z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