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pvt.-ltd."/>
    <w:p>
      <w:pPr>
        <w:pStyle w:val="Heading1"/>
      </w:pPr>
      <w:r>
        <w:t xml:space="preserve">Apex Chemical Solutions Pvt. Ltd.</w:t>
      </w:r>
    </w:p>
    <w:p>
      <w:pPr>
        <w:pStyle w:val="FirstParagraph"/>
      </w:pPr>
      <w:r>
        <w:t xml:space="preserve">Registered Office: 42, Industrial Area Phase II, Peenya</w:t>
      </w:r>
    </w:p>
    <w:p>
      <w:pPr>
        <w:pStyle w:val="BodyText"/>
      </w:pPr>
      <w:r>
        <w:t xml:space="preserve">Bangalore, Karnataka - 560058, India</w:t>
      </w:r>
    </w:p>
    <w:p>
      <w:pPr>
        <w:pStyle w:val="BodyText"/>
      </w:pPr>
      <w:r>
        <w:t xml:space="preserve">GSTIN: 29ABCDE1234F1Z5</w:t>
      </w:r>
    </w:p>
    <w:p>
      <w:pPr>
        <w:pStyle w:val="BodyText"/>
      </w:pPr>
      <w:r>
        <w:t xml:space="preserve">Email: billing@apexchemicals.in | Phone: +91-80-1234-5678</w:t>
      </w:r>
    </w:p>
    <w:bookmarkEnd w:id="20"/>
    <w:bookmarkStart w:id="21" w:name="invoice"/>
    <w:p>
      <w:pPr>
        <w:pStyle w:val="Heading2"/>
      </w:pPr>
      <w:r>
        <w:t xml:space="preserve">INVOICE</w:t>
      </w:r>
    </w:p>
    <w:p>
      <w:pPr>
        <w:pStyle w:val="FirstParagraph"/>
      </w:pPr>
      <w:r>
        <w:t xml:space="preserve">Professional Chemical Engineering Services</w:t>
      </w:r>
    </w:p>
    <w:bookmarkEnd w:id="21"/>
    <w:bookmarkStart w:id="22" w:name="bill-to"/>
    <w:p>
      <w:pPr>
        <w:pStyle w:val="Heading3"/>
      </w:pPr>
      <w:r>
        <w:t xml:space="preserve">Bill To:</w:t>
      </w:r>
    </w:p>
    <w:p>
      <w:pPr>
        <w:pStyle w:val="FirstParagraph"/>
      </w:pPr>
      <w:r>
        <w:rPr>
          <w:bCs/>
          <w:b/>
        </w:rPr>
        <w:t xml:space="preserve">Reliance Industries Limited</w:t>
      </w:r>
    </w:p>
    <w:p>
      <w:pPr>
        <w:pStyle w:val="BodyText"/>
      </w:pPr>
      <w:r>
        <w:t xml:space="preserve">Refinery Operations Division</w:t>
      </w:r>
    </w:p>
    <w:p>
      <w:pPr>
        <w:pStyle w:val="BodyText"/>
      </w:pPr>
      <w:r>
        <w:t xml:space="preserve">Plot No. 15, Whitefield IT Park</w:t>
      </w:r>
    </w:p>
    <w:p>
      <w:pPr>
        <w:pStyle w:val="BodyText"/>
      </w:pPr>
      <w:r>
        <w:t xml:space="preserve">Bangalore, Karnataka - 560066, India</w:t>
      </w:r>
    </w:p>
    <w:p>
      <w:pPr>
        <w:pStyle w:val="BodyText"/>
      </w:pPr>
      <w:r>
        <w:t xml:space="preserve">Attn: Mr. Rajesh Kumar, Plant Manager</w:t>
      </w:r>
    </w:p>
    <w:p>
      <w:pPr>
        <w:pStyle w:val="BodyText"/>
      </w:pPr>
      <w:r>
        <w:t xml:space="preserve">GSTIN: 29XYZAB5678C1D9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ACS-INV-2024-0892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Process Optimization - Unit 7</w:t>
            </w:r>
          </w:p>
        </w:tc>
      </w:tr>
      <w:tr>
        <w:tc>
          <w:tcPr/>
          <w:p>
            <w:pPr>
              <w:pStyle w:val="Compact"/>
              <w:jc w:val="left"/>
            </w:pPr>
            <w:r>
              <w:t xml:space="preserve">Place of Supply:</w:t>
            </w:r>
          </w:p>
        </w:tc>
        <w:tc>
          <w:tcPr/>
          <w:p>
            <w:pPr>
              <w:pStyle w:val="Compact"/>
              <w:jc w:val="left"/>
            </w:pPr>
            <w:r>
              <w:t xml:space="preserve">Bangalore, Karnataka, India</w:t>
            </w:r>
          </w:p>
        </w:tc>
      </w:tr>
    </w:tbl>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HSN/SAC Code</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Process Design &amp; Simulation:</w:t>
            </w:r>
            <w:r>
              <w:t xml:space="preserve"> </w:t>
            </w:r>
            <w:r>
              <w:t xml:space="preserve">Comprehensive chemical process design for the new distillation column unit at Bangalore facility. Includes Aspen Plus simulation, material balance calculations, energy integration analysis, and P&amp;ID development. Services rendered by senior Chemical Engineer with 15+ years experience in petrochemical processing.</w:t>
            </w:r>
          </w:p>
        </w:tc>
        <w:tc>
          <w:tcPr/>
          <w:p>
            <w:pPr>
              <w:pStyle w:val="Compact"/>
              <w:jc w:val="left"/>
            </w:pPr>
            <w:r>
              <w:t xml:space="preserve">998741</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Heat Exchanger Network Optimization:</w:t>
            </w:r>
            <w:r>
              <w:t xml:space="preserve"> </w:t>
            </w:r>
            <w:r>
              <w:t xml:space="preserve">Detailed thermal analysis and pinch technology application to optimize heat recovery systems. Includes equipment sizing, thermal efficiency calculations, and recommendations for reducing energy consumption by 18%. On-site consultation conducted at Bangalore plant premises.</w:t>
            </w:r>
          </w:p>
        </w:tc>
        <w:tc>
          <w:tcPr/>
          <w:p>
            <w:pPr>
              <w:pStyle w:val="Compact"/>
              <w:jc w:val="left"/>
            </w:pPr>
            <w:r>
              <w:t xml:space="preserve">998741</w:t>
            </w:r>
          </w:p>
        </w:tc>
        <w:tc>
          <w:tcPr/>
          <w:p>
            <w:pPr>
              <w:pStyle w:val="Compact"/>
              <w:jc w:val="left"/>
            </w:pPr>
            <w:r>
              <w:t xml:space="preserve">80</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rPr>
                <w:bCs/>
                <w:b/>
              </w:rPr>
              <w:t xml:space="preserve">Reaction Kinetics Study:</w:t>
            </w:r>
            <w:r>
              <w:t xml:space="preserve"> </w:t>
            </w:r>
            <w:r>
              <w:t xml:space="preserve">Laboratory-scale and pilot-scale reaction kinetics analysis for new catalyst development. Includes Arrhenius parameter determination, reactor modeling, and scale-up recommendations for continuous stirred-tank reactor (CSTR) implementation.</w:t>
            </w:r>
          </w:p>
        </w:tc>
        <w:tc>
          <w:tcPr/>
          <w:p>
            <w:pPr>
              <w:pStyle w:val="Compact"/>
              <w:jc w:val="left"/>
            </w:pPr>
            <w:r>
              <w:t xml:space="preserve">998741</w:t>
            </w:r>
          </w:p>
        </w:tc>
        <w:tc>
          <w:tcPr/>
          <w:p>
            <w:pPr>
              <w:pStyle w:val="Compact"/>
              <w:jc w:val="left"/>
            </w:pPr>
            <w:r>
              <w:t xml:space="preserve">60</w:t>
            </w:r>
          </w:p>
        </w:tc>
        <w:tc>
          <w:tcPr/>
          <w:p>
            <w:pPr>
              <w:pStyle w:val="Compact"/>
              <w:jc w:val="left"/>
            </w:pPr>
            <w:r>
              <w:t xml:space="preserve">₹2,800.00</w:t>
            </w:r>
          </w:p>
        </w:tc>
        <w:tc>
          <w:tcPr/>
          <w:p>
            <w:pPr>
              <w:pStyle w:val="Compact"/>
              <w:jc w:val="left"/>
            </w:pPr>
            <w:r>
              <w:t xml:space="preserve">₹1,68,000.00</w:t>
            </w:r>
          </w:p>
        </w:tc>
      </w:tr>
      <w:tr>
        <w:tc>
          <w:tcPr/>
          <w:p>
            <w:pPr>
              <w:pStyle w:val="Compact"/>
              <w:jc w:val="left"/>
            </w:pPr>
            <w:r>
              <w:t xml:space="preserve">4</w:t>
            </w:r>
          </w:p>
        </w:tc>
        <w:tc>
          <w:tcPr/>
          <w:p>
            <w:pPr>
              <w:pStyle w:val="Compact"/>
              <w:jc w:val="left"/>
            </w:pPr>
            <w:r>
              <w:rPr>
                <w:bCs/>
                <w:b/>
              </w:rPr>
              <w:t xml:space="preserve">Safety &amp; Hazard Analysis:</w:t>
            </w:r>
            <w:r>
              <w:t xml:space="preserve"> </w:t>
            </w:r>
            <w:r>
              <w:t xml:space="preserve">HAZOP (Hazard and Operability Study) and LOPA (Layer of Protection Analysis) for chemical processing units. Includes identification of process hazards, risk assessment, and safety instrumented system (SIS) recommendations compliant with Indian standards and OISD guidelines.</w:t>
            </w:r>
          </w:p>
        </w:tc>
        <w:tc>
          <w:tcPr/>
          <w:p>
            <w:pPr>
              <w:pStyle w:val="Compact"/>
              <w:jc w:val="left"/>
            </w:pPr>
            <w:r>
              <w:t xml:space="preserve">998741</w:t>
            </w:r>
          </w:p>
        </w:tc>
        <w:tc>
          <w:tcPr/>
          <w:p>
            <w:pPr>
              <w:pStyle w:val="Compact"/>
              <w:jc w:val="left"/>
            </w:pPr>
            <w:r>
              <w:t xml:space="preserve">40</w:t>
            </w:r>
          </w:p>
        </w:tc>
        <w:tc>
          <w:tcPr/>
          <w:p>
            <w:pPr>
              <w:pStyle w:val="Compact"/>
              <w:jc w:val="left"/>
            </w:pPr>
            <w:r>
              <w:t xml:space="preserve">₹3,000.00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Environmental Compliance Consulting:</w:t>
            </w:r>
            <w:r>
              <w:t xml:space="preserve"> </w:t>
            </w:r>
            <w:r>
              <w:t xml:space="preserve">Effluent treatment plant design optimization and emission control strategy development. Includes calculation of pollutant loads, design of biological treatment processes, and compliance documentation for Karnataka State Pollution Control Board (KSPCB) regulations.</w:t>
            </w:r>
          </w:p>
        </w:tc>
        <w:tc>
          <w:tcPr/>
          <w:p>
            <w:pPr>
              <w:pStyle w:val="Compact"/>
              <w:jc w:val="left"/>
            </w:pPr>
            <w:r>
              <w:t xml:space="preserve">998741</w:t>
            </w:r>
          </w:p>
        </w:tc>
        <w:tc>
          <w:tcPr/>
          <w:p>
            <w:pPr>
              <w:pStyle w:val="Compact"/>
              <w:jc w:val="left"/>
            </w:pPr>
            <w:r>
              <w:t xml:space="preserve">35</w:t>
            </w:r>
          </w:p>
        </w:tc>
        <w:tc>
          <w:tcPr/>
          <w:p>
            <w:pPr>
              <w:pStyle w:val="Compact"/>
              <w:jc w:val="left"/>
            </w:pPr>
            <w:r>
              <w:t xml:space="preserve">₹2,400.00</w:t>
            </w:r>
          </w:p>
        </w:tc>
        <w:tc>
          <w:tcPr/>
          <w:p>
            <w:pPr>
              <w:pStyle w:val="Compact"/>
              <w:jc w:val="left"/>
            </w:pPr>
            <w:r>
              <w:t xml:space="preserve">₹84,000.00</w:t>
            </w:r>
          </w:p>
        </w:tc>
      </w:tr>
      <w:tr>
        <w:tc>
          <w:tcPr/>
          <w:p>
            <w:pPr>
              <w:pStyle w:val="Compact"/>
              <w:jc w:val="left"/>
            </w:pPr>
            <w:r>
              <w:t xml:space="preserve">6</w:t>
            </w:r>
          </w:p>
        </w:tc>
        <w:tc>
          <w:tcPr/>
          <w:p>
            <w:pPr>
              <w:pStyle w:val="Compact"/>
              <w:jc w:val="left"/>
            </w:pPr>
            <w:r>
              <w:rPr>
                <w:bCs/>
                <w:b/>
              </w:rPr>
              <w:t xml:space="preserve">Technical Documentation &amp; Training:</w:t>
            </w:r>
            <w:r>
              <w:t xml:space="preserve"> </w:t>
            </w:r>
            <w:r>
              <w:t xml:space="preserve">Preparation of detailed process design packages, operating procedures, and maintenance manuals. Includes on-site training sessions for plant operators and engineers at Bangalore facility on new process control strategies and emergency response protocols.</w:t>
            </w:r>
          </w:p>
        </w:tc>
        <w:tc>
          <w:tcPr/>
          <w:p>
            <w:pPr>
              <w:pStyle w:val="Compact"/>
              <w:jc w:val="left"/>
            </w:pPr>
            <w:r>
              <w:t xml:space="preserve">998741</w:t>
            </w:r>
          </w:p>
        </w:tc>
        <w:tc>
          <w:tcPr/>
          <w:p>
            <w:pPr>
              <w:pStyle w:val="Compact"/>
              <w:jc w:val="left"/>
            </w:pPr>
            <w:r>
              <w:t xml:space="preserve">25</w:t>
            </w:r>
          </w:p>
        </w:tc>
        <w:tc>
          <w:tcPr/>
          <w:p>
            <w:pPr>
              <w:pStyle w:val="Compact"/>
              <w:jc w:val="left"/>
            </w:pPr>
            <w:r>
              <w:t xml:space="preserve">₹2,000.00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₹8,98,000.00</w:t>
            </w:r>
          </w:p>
        </w:tc>
      </w:tr>
      <w:tr>
        <w:tc>
          <w:tcPr/>
          <w:p>
            <w:pPr>
              <w:pStyle w:val="Compact"/>
              <w:jc w:val="left"/>
            </w:pPr>
            <w:r>
              <w:t xml:space="preserve">GST @ 18% (CGST 9% + SGST 9%):</w:t>
            </w:r>
          </w:p>
        </w:tc>
        <w:tc>
          <w:tcPr/>
          <w:p>
            <w:pPr>
              <w:pStyle w:val="Compact"/>
              <w:jc w:val="left"/>
            </w:pPr>
            <w:r>
              <w:t xml:space="preserve">₹1,61,640.00</w:t>
            </w:r>
          </w:p>
        </w:tc>
      </w:tr>
      <w:tr>
        <w:tc>
          <w:tcPr/>
          <w:p>
            <w:pPr>
              <w:pStyle w:val="Compact"/>
              <w:jc w:val="left"/>
            </w:pPr>
            <w:r>
              <w:t xml:space="preserve">TDS @ 10% (as applicable):</w:t>
            </w:r>
          </w:p>
        </w:tc>
        <w:tc>
          <w:tcPr/>
          <w:p>
            <w:pPr>
              <w:pStyle w:val="Compact"/>
              <w:jc w:val="left"/>
            </w:pPr>
            <w:r>
              <w:t xml:space="preserve">(₹89,800.00)</w:t>
            </w:r>
          </w:p>
        </w:tc>
      </w:tr>
      <w:tr>
        <w:tc>
          <w:tcPr/>
          <w:p>
            <w:pPr>
              <w:pStyle w:val="Compact"/>
              <w:jc w:val="left"/>
            </w:pPr>
            <w:r>
              <w:t xml:space="preserve">Grand Total:</w:t>
            </w:r>
          </w:p>
        </w:tc>
        <w:tc>
          <w:tcPr/>
          <w:p>
            <w:pPr>
              <w:pStyle w:val="Compact"/>
              <w:jc w:val="left"/>
            </w:pPr>
            <w:r>
              <w:t xml:space="preserve">₹9,69,840.00</w:t>
            </w:r>
          </w:p>
        </w:tc>
      </w:tr>
    </w:tbl>
    <w:bookmarkStart w:id="24" w:name="terms-conditions"/>
    <w:p>
      <w:pPr>
        <w:pStyle w:val="Heading4"/>
      </w:pPr>
      <w:r>
        <w:t xml:space="preserve">Terms &amp; Conditions:</w:t>
      </w:r>
    </w:p>
    <w:p>
      <w:pPr>
        <w:pStyle w:val="FirstParagraph"/>
      </w:pPr>
      <w:r>
        <w:t xml:space="preserve">1. Payment is due within 30 days from the date of this invoice. Late payments will incur interest at 1.5% per month.</w:t>
      </w:r>
    </w:p>
    <w:p>
      <w:pPr>
        <w:pStyle w:val="BodyText"/>
      </w:pPr>
      <w:r>
        <w:t xml:space="preserve">2. All services were performed in accordance with Indian Standards (IS) and relevant chemical engineering codes applicable in India Bangalore region.</w:t>
      </w:r>
    </w:p>
    <w:p>
      <w:pPr>
        <w:pStyle w:val="BodyText"/>
      </w:pPr>
      <w:r>
        <w:t xml:space="preserve">3. TDS will be deducted as per Income Tax Act, 1961, and appropriate TDS certificate will be issued.</w:t>
      </w:r>
    </w:p>
    <w:p>
      <w:pPr>
        <w:pStyle w:val="BodyText"/>
      </w:pPr>
      <w:r>
        <w:t xml:space="preserve">4. This invoice is computer-generated and does not require a physical signature.</w:t>
      </w:r>
    </w:p>
    <w:p>
      <w:pPr>
        <w:pStyle w:val="BodyText"/>
      </w:pPr>
      <w:r>
        <w:t xml:space="preserve">5. For any queries regarding this invoice, please contact our accounts department at accounts@apexchemicals.in.</w:t>
      </w:r>
    </w:p>
    <w:p>
      <w:pPr>
        <w:pStyle w:val="BodyText"/>
      </w:pPr>
      <w:r>
        <w:t xml:space="preserve">6. All intellectual property rights related to process designs and calculations remain with Apex Chemical Solutions Pvt. Ltd. until full payment is received.</w:t>
      </w:r>
    </w:p>
    <w:bookmarkEnd w:id="24"/>
    <w:bookmarkStart w:id="25" w:name="bank-details-for-payment"/>
    <w:p>
      <w:pPr>
        <w:pStyle w:val="Heading4"/>
      </w:pPr>
      <w:r>
        <w:t xml:space="preserve">Bank Details for Payment:</w:t>
      </w:r>
    </w:p>
    <w:p>
      <w:pPr>
        <w:pStyle w:val="FirstParagraph"/>
      </w:pPr>
      <w:r>
        <w:rPr>
          <w:bCs/>
          <w:b/>
        </w:rPr>
        <w:t xml:space="preserve">Account Name:</w:t>
      </w:r>
      <w:r>
        <w:t xml:space="preserve"> </w:t>
      </w:r>
      <w:r>
        <w:t xml:space="preserve">Apex Chemical Solutions Pvt. Ltd.</w:t>
      </w:r>
    </w:p>
    <w:p>
      <w:pPr>
        <w:pStyle w:val="BodyText"/>
      </w:pPr>
      <w:r>
        <w:rPr>
          <w:bCs/>
          <w:b/>
        </w:rPr>
        <w:t xml:space="preserve">Bank Name:</w:t>
      </w:r>
      <w:r>
        <w:t xml:space="preserve"> </w:t>
      </w:r>
      <w:r>
        <w:t xml:space="preserve">State Bank of India</w:t>
      </w:r>
    </w:p>
    <w:p>
      <w:pPr>
        <w:pStyle w:val="BodyText"/>
      </w:pPr>
      <w:r>
        <w:rPr>
          <w:bCs/>
          <w:b/>
        </w:rPr>
        <w:t xml:space="preserve">Branch:</w:t>
      </w:r>
      <w:r>
        <w:t xml:space="preserve"> </w:t>
      </w:r>
      <w:r>
        <w:t xml:space="preserve">Peenya Industrial Area, Bangalore</w:t>
      </w:r>
    </w:p>
    <w:p>
      <w:pPr>
        <w:pStyle w:val="BodyText"/>
      </w:pPr>
      <w:r>
        <w:rPr>
          <w:bCs/>
          <w:b/>
        </w:rPr>
        <w:t xml:space="preserve">Account Number:</w:t>
      </w:r>
      <w:r>
        <w:t xml:space="preserve"> </w:t>
      </w:r>
      <w:r>
        <w:t xml:space="preserve">30587612345678</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SBININBB104</w:t>
      </w:r>
    </w:p>
    <w:bookmarkEnd w:id="25"/>
    <w:p>
      <w:pPr>
        <w:pStyle w:val="BodyText"/>
      </w:pPr>
      <w:r>
        <w:rPr>
          <w:bCs/>
          <w:b/>
        </w:rPr>
        <w:t xml:space="preserve">Authorized Signatory</w:t>
      </w:r>
    </w:p>
    <w:p>
      <w:pPr>
        <w:pStyle w:val="BodyText"/>
      </w:pPr>
      <w:r>
        <w:t xml:space="preserve">Apex Chemical Solutions Pvt. Ltd.</w:t>
      </w:r>
    </w:p>
    <w:p>
      <w:pPr>
        <w:pStyle w:val="BodyText"/>
      </w:pPr>
      <w:r>
        <w:t xml:space="preserve">Dr. Priya Sharma</w:t>
      </w:r>
      <w:r>
        <w:br/>
      </w:r>
      <w:r>
        <w:t xml:space="preserve">Chief Chemical Engineer</w:t>
      </w:r>
      <w:r>
        <w:br/>
      </w:r>
      <w:r>
        <w:t xml:space="preserve">M.Tech (Chemical Engineering), IIT Madras</w:t>
      </w:r>
    </w:p>
    <w:p>
      <w:pPr>
        <w:pStyle w:val="BodyText"/>
      </w:pPr>
      <w:r>
        <w:t xml:space="preserve">Thank you for your business. We appreciate your trust in our chemical engineering expertise.</w:t>
      </w:r>
      <w:r>
        <w:br/>
      </w:r>
      <w:r>
        <w:t xml:space="preserve">This document serves as an official invoice for professional services rendered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2026-10-10T08:35:50Z</dcterms:created>
  <dcterms:modified xsi:type="dcterms:W3CDTF">2026-10-10T08:35:50Z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